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4AAE7" w14:textId="200C28A3" w:rsidR="00E567BB" w:rsidRPr="00EB2911" w:rsidRDefault="00000000" w:rsidP="001D50D4">
      <w:pPr>
        <w:pStyle w:val="Titre"/>
        <w:rPr>
          <w:spacing w:val="0"/>
        </w:rPr>
      </w:pPr>
      <w:r w:rsidRPr="00EB2911">
        <w:rPr>
          <w:spacing w:val="0"/>
        </w:rPr>
        <w:t>Sur le consentement à l’écrasement de Gaza</w:t>
      </w:r>
    </w:p>
    <w:p w14:paraId="48EF1D1F" w14:textId="77777777" w:rsidR="001D50D4" w:rsidRDefault="001D50D4" w:rsidP="001D50D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8890"/>
      </w:tblGrid>
      <w:tr w:rsidR="00CC7372" w14:paraId="393A55C4" w14:textId="77777777" w:rsidTr="00CC7372">
        <w:tc>
          <w:tcPr>
            <w:tcW w:w="8890" w:type="dxa"/>
            <w:shd w:val="clear" w:color="auto" w:fill="FDE9D9" w:themeFill="accent6" w:themeFillTint="33"/>
          </w:tcPr>
          <w:p w14:paraId="4B849AFA" w14:textId="623EDCBE" w:rsidR="00CC7372" w:rsidRDefault="00CC7372" w:rsidP="00CC7372">
            <w:pPr>
              <w:jc w:val="center"/>
            </w:pPr>
            <w:r w:rsidRPr="001D50D4">
              <w:t xml:space="preserve">Didier </w:t>
            </w:r>
            <w:proofErr w:type="spellStart"/>
            <w:r w:rsidRPr="001D50D4">
              <w:t>Fassin</w:t>
            </w:r>
            <w:proofErr w:type="spellEnd"/>
            <w:r w:rsidRPr="001D50D4">
              <w:t xml:space="preserve">, </w:t>
            </w:r>
            <w:r>
              <w:t>« </w:t>
            </w:r>
            <w:r w:rsidRPr="001D50D4">
              <w:t>Une étrange défaite</w:t>
            </w:r>
            <w:r w:rsidR="003C1E66">
              <w:t> :</w:t>
            </w:r>
            <w:r w:rsidRPr="001D50D4">
              <w:t xml:space="preserve"> Sur le consentement à l’écrasement de Gaza</w:t>
            </w:r>
            <w:r>
              <w:t> »</w:t>
            </w:r>
            <w:r w:rsidRPr="001D50D4">
              <w:t>,</w:t>
            </w:r>
            <w:r>
              <w:br/>
            </w:r>
            <w:r w:rsidRPr="001D50D4">
              <w:t>éditions La Découverte, 2024, 187 pages.</w:t>
            </w:r>
          </w:p>
        </w:tc>
      </w:tr>
    </w:tbl>
    <w:p w14:paraId="7E2140B7" w14:textId="77777777" w:rsidR="00CC7372" w:rsidRPr="00EB2911" w:rsidRDefault="00CC7372" w:rsidP="001D50D4"/>
    <w:p w14:paraId="72413A0D" w14:textId="761A3F3A" w:rsidR="001D50D4" w:rsidRPr="00EB2911" w:rsidRDefault="001D50D4" w:rsidP="001D50D4">
      <w:r w:rsidRPr="00EB2911">
        <w:t xml:space="preserve">Textes extraits de l’ouvrage de Didier </w:t>
      </w:r>
      <w:proofErr w:type="spellStart"/>
      <w:r w:rsidRPr="00EB2911">
        <w:t>Fassin</w:t>
      </w:r>
      <w:proofErr w:type="spellEnd"/>
      <w:r w:rsidR="003C1E66">
        <w:t xml:space="preserve"> intitulé « </w:t>
      </w:r>
      <w:r w:rsidR="003C1E66" w:rsidRPr="001D50D4">
        <w:t>Une étrange défaite</w:t>
      </w:r>
      <w:r w:rsidR="003C1E66">
        <w:t> »</w:t>
      </w:r>
      <w:r w:rsidR="003C1E66">
        <w:t> </w:t>
      </w:r>
      <w:r w:rsidRPr="00EB2911">
        <w:t xml:space="preserve">, présentés et sélectionnés par Didier </w:t>
      </w:r>
      <w:proofErr w:type="spellStart"/>
      <w:r w:rsidRPr="00EB2911">
        <w:t>Leheudre</w:t>
      </w:r>
      <w:proofErr w:type="spellEnd"/>
      <w:r w:rsidRPr="00EB2911">
        <w:t xml:space="preserve">, </w:t>
      </w:r>
      <w:r w:rsidR="00CE0664">
        <w:t>concepteur</w:t>
      </w:r>
      <w:r w:rsidRPr="00EB2911">
        <w:t xml:space="preserve"> </w:t>
      </w:r>
      <w:r w:rsidR="00CE0664" w:rsidRPr="00CE0664">
        <w:t>pour la fabrication et l'assemblage</w:t>
      </w:r>
      <w:r w:rsidR="00CE0664">
        <w:t xml:space="preserve"> </w:t>
      </w:r>
      <w:r w:rsidRPr="00EB2911">
        <w:t>en aéronautique, Longueuil, Québec</w:t>
      </w:r>
      <w:r w:rsidR="007E2F22">
        <w:t>.</w:t>
      </w:r>
    </w:p>
    <w:p w14:paraId="3D447CC1" w14:textId="77777777" w:rsidR="00E567BB" w:rsidRPr="00EB2911" w:rsidRDefault="00E567BB" w:rsidP="001D50D4">
      <w:pPr>
        <w:rPr>
          <w:rFonts w:cs="Calibri"/>
        </w:rPr>
      </w:pPr>
    </w:p>
    <w:p w14:paraId="0772E00B" w14:textId="45083807" w:rsidR="00E567BB" w:rsidRPr="00EB2911" w:rsidRDefault="00000000" w:rsidP="00EB2911">
      <w:pPr>
        <w:pStyle w:val="Sous-titre"/>
      </w:pPr>
      <w:r w:rsidRPr="00EB2911">
        <w:t>Résumé</w:t>
      </w:r>
    </w:p>
    <w:p w14:paraId="58BE4CE5" w14:textId="77777777" w:rsidR="00E567BB" w:rsidRPr="00EB2911" w:rsidRDefault="00000000" w:rsidP="001D50D4">
      <w:pPr>
        <w:rPr>
          <w:rFonts w:cs="Calibri"/>
        </w:rPr>
      </w:pPr>
      <w:r w:rsidRPr="00EB2911">
        <w:rPr>
          <w:rFonts w:cs="Calibri"/>
        </w:rPr>
        <w:t>Avec le recul du temps, les événements qui, après l'attaque meurtrière du Hamas le 7 octobre 2023, se sont déroulés en Palestine et leur réception dans une grande partie des lieux de pouvoir, tant politiques qu'intellectuels, de la planète apparaîtront à la lumière crue de leur signification : plus que l'abandon d'une partie de l'humanité, dont la réalpolitique internationale a donné maints exemples récents, c'est le soutien apporté à sa destruction que retiendra l'histoire.</w:t>
      </w:r>
    </w:p>
    <w:p w14:paraId="3880F463" w14:textId="77777777" w:rsidR="0026031B" w:rsidRPr="00EB2911" w:rsidRDefault="0026031B" w:rsidP="001D50D4">
      <w:pPr>
        <w:rPr>
          <w:rFonts w:cs="Calibri"/>
        </w:rPr>
      </w:pPr>
    </w:p>
    <w:p w14:paraId="1798DB7D" w14:textId="462C5B72" w:rsidR="00E567BB" w:rsidRPr="00EB2911" w:rsidRDefault="00000000" w:rsidP="001D50D4">
      <w:pPr>
        <w:rPr>
          <w:rFonts w:cs="Calibri"/>
        </w:rPr>
      </w:pPr>
      <w:r w:rsidRPr="00EB2911">
        <w:rPr>
          <w:rFonts w:cs="Calibri"/>
        </w:rPr>
        <w:t>Cet acquiescement à la dévastation de Gaza et au massacre de sa population par l'État d'Israël, à quoi s'ajoute la persécution des habitants de Cisjordanie, a suscité l'indignation de celles et ceux qui, tout en condamnant les actes sanglants ayant déclenché l'offensive, rappelaient les décennies de spoliation, de violence et d'humiliation qui les avait précédés</w:t>
      </w:r>
      <w:r w:rsidR="0026031B" w:rsidRPr="00EB2911">
        <w:rPr>
          <w:rFonts w:cs="Calibri"/>
        </w:rPr>
        <w:t>,</w:t>
      </w:r>
      <w:r w:rsidRPr="00EB2911">
        <w:rPr>
          <w:rFonts w:cs="Calibri"/>
        </w:rPr>
        <w:t xml:space="preserve"> et refusaient la poursuite de l'écrasement d'un peuple et de l'effacement de sa mémoire. Mais on les a stigmatisés et réprimés. Une police de la pensée s'est imposée. Le détournement des mots et l'inversion des valeurs ont mis à l'épreuve l'intelligence politique et le discernement moral. Ce livre propose une archive et une analyse de cette abdication historique.</w:t>
      </w:r>
    </w:p>
    <w:p w14:paraId="2541A077" w14:textId="77777777" w:rsidR="0026031B" w:rsidRPr="00EB2911" w:rsidRDefault="0026031B" w:rsidP="001D50D4">
      <w:pPr>
        <w:rPr>
          <w:rFonts w:cs="Calibri"/>
        </w:rPr>
      </w:pPr>
    </w:p>
    <w:p w14:paraId="5E290C45" w14:textId="3E1EBC56" w:rsidR="00E567BB" w:rsidRPr="00EB2911" w:rsidRDefault="00000000" w:rsidP="001D50D4">
      <w:pPr>
        <w:rPr>
          <w:rFonts w:cs="Calibri"/>
        </w:rPr>
      </w:pPr>
      <w:r w:rsidRPr="00EB2911">
        <w:rPr>
          <w:rFonts w:cs="Calibri"/>
        </w:rPr>
        <w:t xml:space="preserve">Didier </w:t>
      </w:r>
      <w:proofErr w:type="spellStart"/>
      <w:r w:rsidRPr="00EB2911">
        <w:rPr>
          <w:rFonts w:cs="Calibri"/>
        </w:rPr>
        <w:t>Fassin</w:t>
      </w:r>
      <w:proofErr w:type="spellEnd"/>
      <w:r w:rsidRPr="00EB2911">
        <w:rPr>
          <w:rFonts w:cs="Calibri"/>
        </w:rPr>
        <w:t xml:space="preserve"> est professeur au Collège de France, où il est titulaire de la chaire </w:t>
      </w:r>
      <w:r w:rsidR="009C6027">
        <w:rPr>
          <w:rFonts w:cs="Calibri"/>
        </w:rPr>
        <w:t>« </w:t>
      </w:r>
      <w:r w:rsidRPr="00EB2911">
        <w:rPr>
          <w:rFonts w:cs="Calibri"/>
        </w:rPr>
        <w:t>Questions morales et enjeux politiques dans les sociétés contemporaines</w:t>
      </w:r>
      <w:r w:rsidR="009C6027">
        <w:rPr>
          <w:rFonts w:cs="Calibri"/>
        </w:rPr>
        <w:t> »</w:t>
      </w:r>
      <w:r w:rsidRPr="00EB2911">
        <w:rPr>
          <w:rFonts w:cs="Calibri"/>
        </w:rPr>
        <w:t xml:space="preserve">. Il enseigne également à l'Institute for Advanced </w:t>
      </w:r>
      <w:proofErr w:type="spellStart"/>
      <w:r w:rsidRPr="00EB2911">
        <w:rPr>
          <w:rFonts w:cs="Calibri"/>
        </w:rPr>
        <w:t>Study</w:t>
      </w:r>
      <w:proofErr w:type="spellEnd"/>
      <w:r w:rsidRPr="00EB2911">
        <w:rPr>
          <w:rFonts w:cs="Calibri"/>
        </w:rPr>
        <w:t xml:space="preserve"> de Princeton et à l'École des hautes études en sciences sociales. Il est notamment l'auteur, à La Découverte, de </w:t>
      </w:r>
      <w:r w:rsidR="00FF4E08" w:rsidRPr="00EB2911">
        <w:rPr>
          <w:rFonts w:cs="Calibri"/>
        </w:rPr>
        <w:t>« </w:t>
      </w:r>
      <w:r w:rsidRPr="00EB2911">
        <w:rPr>
          <w:rFonts w:cs="Calibri"/>
        </w:rPr>
        <w:t>Quand les corps se souviennent</w:t>
      </w:r>
      <w:r w:rsidR="00FF4E08" w:rsidRPr="00EB2911">
        <w:rPr>
          <w:rFonts w:cs="Calibri"/>
        </w:rPr>
        <w:t> »</w:t>
      </w:r>
      <w:r w:rsidRPr="00EB2911">
        <w:rPr>
          <w:rFonts w:cs="Calibri"/>
        </w:rPr>
        <w:t xml:space="preserve"> (2005) et </w:t>
      </w:r>
      <w:r w:rsidR="00FF4E08" w:rsidRPr="00EB2911">
        <w:rPr>
          <w:rFonts w:cs="Calibri"/>
        </w:rPr>
        <w:t>« </w:t>
      </w:r>
      <w:r w:rsidRPr="00EB2911">
        <w:rPr>
          <w:rFonts w:cs="Calibri"/>
        </w:rPr>
        <w:t>Économies morales contemporaines</w:t>
      </w:r>
      <w:r w:rsidR="00FF4E08" w:rsidRPr="00EB2911">
        <w:rPr>
          <w:rFonts w:cs="Calibri"/>
        </w:rPr>
        <w:t> »</w:t>
      </w:r>
      <w:r w:rsidRPr="00EB2911">
        <w:rPr>
          <w:rFonts w:cs="Calibri"/>
        </w:rPr>
        <w:t xml:space="preserve"> (</w:t>
      </w:r>
      <w:proofErr w:type="spellStart"/>
      <w:r w:rsidRPr="00EB2911">
        <w:rPr>
          <w:rFonts w:cs="Calibri"/>
        </w:rPr>
        <w:t>dir</w:t>
      </w:r>
      <w:proofErr w:type="spellEnd"/>
      <w:r w:rsidRPr="00EB2911">
        <w:rPr>
          <w:rFonts w:cs="Calibri"/>
        </w:rPr>
        <w:t xml:space="preserve">., avec Jean-Sébastien </w:t>
      </w:r>
      <w:proofErr w:type="spellStart"/>
      <w:r w:rsidRPr="00EB2911">
        <w:rPr>
          <w:rFonts w:cs="Calibri"/>
        </w:rPr>
        <w:t>Eideliman</w:t>
      </w:r>
      <w:proofErr w:type="spellEnd"/>
      <w:r w:rsidRPr="00EB2911">
        <w:rPr>
          <w:rFonts w:cs="Calibri"/>
        </w:rPr>
        <w:t>, 2012).</w:t>
      </w:r>
    </w:p>
    <w:p w14:paraId="513A8B93" w14:textId="77777777" w:rsidR="001D50D4" w:rsidRPr="00EB2911" w:rsidRDefault="001D50D4" w:rsidP="001D50D4">
      <w:pPr>
        <w:rPr>
          <w:rFonts w:cs="Calibri"/>
        </w:rPr>
      </w:pPr>
    </w:p>
    <w:p w14:paraId="17A0E61D" w14:textId="37B7AE67" w:rsidR="00E567BB" w:rsidRPr="00EB2911" w:rsidRDefault="00000000" w:rsidP="00EB2911">
      <w:pPr>
        <w:pStyle w:val="Sous-titre"/>
      </w:pPr>
      <w:r w:rsidRPr="00EB2911">
        <w:t>Extraits</w:t>
      </w:r>
    </w:p>
    <w:p w14:paraId="1C9FFE84" w14:textId="544ABB3A" w:rsidR="00DB0E24" w:rsidRDefault="00652A9C">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r>
        <w:rPr>
          <w:rFonts w:cs="Calibri"/>
        </w:rPr>
        <w:fldChar w:fldCharType="begin"/>
      </w:r>
      <w:r>
        <w:rPr>
          <w:rFonts w:cs="Calibri"/>
        </w:rPr>
        <w:instrText xml:space="preserve"> TOC \o "1-1" \h \z \u </w:instrText>
      </w:r>
      <w:r>
        <w:rPr>
          <w:rFonts w:cs="Calibri"/>
        </w:rPr>
        <w:fldChar w:fldCharType="separate"/>
      </w:r>
      <w:hyperlink w:anchor="_Toc199350658" w:history="1">
        <w:r w:rsidR="00DB0E24" w:rsidRPr="002E59DE">
          <w:rPr>
            <w:rStyle w:val="Hyperlien"/>
            <w:noProof/>
          </w:rPr>
          <w:t>Relativisation des événements de Gaza</w:t>
        </w:r>
        <w:r w:rsidR="00DB0E24">
          <w:rPr>
            <w:noProof/>
            <w:webHidden/>
          </w:rPr>
          <w:tab/>
        </w:r>
        <w:r w:rsidR="00DB0E24">
          <w:rPr>
            <w:noProof/>
            <w:webHidden/>
          </w:rPr>
          <w:fldChar w:fldCharType="begin"/>
        </w:r>
        <w:r w:rsidR="00DB0E24">
          <w:rPr>
            <w:noProof/>
            <w:webHidden/>
          </w:rPr>
          <w:instrText xml:space="preserve"> PAGEREF _Toc199350658 \h </w:instrText>
        </w:r>
        <w:r w:rsidR="00DB0E24">
          <w:rPr>
            <w:noProof/>
            <w:webHidden/>
          </w:rPr>
        </w:r>
        <w:r w:rsidR="00DB0E24">
          <w:rPr>
            <w:noProof/>
            <w:webHidden/>
          </w:rPr>
          <w:fldChar w:fldCharType="separate"/>
        </w:r>
        <w:r w:rsidR="00DB0E24">
          <w:rPr>
            <w:noProof/>
            <w:webHidden/>
          </w:rPr>
          <w:t>2</w:t>
        </w:r>
        <w:r w:rsidR="00DB0E24">
          <w:rPr>
            <w:noProof/>
            <w:webHidden/>
          </w:rPr>
          <w:fldChar w:fldCharType="end"/>
        </w:r>
      </w:hyperlink>
    </w:p>
    <w:p w14:paraId="40F3D12A" w14:textId="46D2956E"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59" w:history="1">
        <w:r w:rsidRPr="002E59DE">
          <w:rPr>
            <w:rStyle w:val="Hyperlien"/>
            <w:noProof/>
          </w:rPr>
          <w:t>Les fakes news israéliennes</w:t>
        </w:r>
        <w:r>
          <w:rPr>
            <w:noProof/>
            <w:webHidden/>
          </w:rPr>
          <w:tab/>
        </w:r>
        <w:r>
          <w:rPr>
            <w:noProof/>
            <w:webHidden/>
          </w:rPr>
          <w:fldChar w:fldCharType="begin"/>
        </w:r>
        <w:r>
          <w:rPr>
            <w:noProof/>
            <w:webHidden/>
          </w:rPr>
          <w:instrText xml:space="preserve"> PAGEREF _Toc199350659 \h </w:instrText>
        </w:r>
        <w:r>
          <w:rPr>
            <w:noProof/>
            <w:webHidden/>
          </w:rPr>
        </w:r>
        <w:r>
          <w:rPr>
            <w:noProof/>
            <w:webHidden/>
          </w:rPr>
          <w:fldChar w:fldCharType="separate"/>
        </w:r>
        <w:r>
          <w:rPr>
            <w:noProof/>
            <w:webHidden/>
          </w:rPr>
          <w:t>2</w:t>
        </w:r>
        <w:r>
          <w:rPr>
            <w:noProof/>
            <w:webHidden/>
          </w:rPr>
          <w:fldChar w:fldCharType="end"/>
        </w:r>
      </w:hyperlink>
    </w:p>
    <w:p w14:paraId="64AC0F79" w14:textId="4DDDC1D3"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0" w:history="1">
        <w:r w:rsidRPr="002E59DE">
          <w:rPr>
            <w:rStyle w:val="Hyperlien"/>
            <w:noProof/>
          </w:rPr>
          <w:t>Le négationnisme</w:t>
        </w:r>
        <w:r>
          <w:rPr>
            <w:noProof/>
            <w:webHidden/>
          </w:rPr>
          <w:tab/>
        </w:r>
        <w:r>
          <w:rPr>
            <w:noProof/>
            <w:webHidden/>
          </w:rPr>
          <w:fldChar w:fldCharType="begin"/>
        </w:r>
        <w:r>
          <w:rPr>
            <w:noProof/>
            <w:webHidden/>
          </w:rPr>
          <w:instrText xml:space="preserve"> PAGEREF _Toc199350660 \h </w:instrText>
        </w:r>
        <w:r>
          <w:rPr>
            <w:noProof/>
            <w:webHidden/>
          </w:rPr>
        </w:r>
        <w:r>
          <w:rPr>
            <w:noProof/>
            <w:webHidden/>
          </w:rPr>
          <w:fldChar w:fldCharType="separate"/>
        </w:r>
        <w:r>
          <w:rPr>
            <w:noProof/>
            <w:webHidden/>
          </w:rPr>
          <w:t>3</w:t>
        </w:r>
        <w:r>
          <w:rPr>
            <w:noProof/>
            <w:webHidden/>
          </w:rPr>
          <w:fldChar w:fldCharType="end"/>
        </w:r>
      </w:hyperlink>
    </w:p>
    <w:p w14:paraId="37DA7F48" w14:textId="00CB4EC2"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1" w:history="1">
        <w:r w:rsidRPr="002E59DE">
          <w:rPr>
            <w:rStyle w:val="Hyperlien"/>
            <w:noProof/>
          </w:rPr>
          <w:t>Nelson Mandela était considéré comme terroriste par les États-Unis</w:t>
        </w:r>
        <w:r>
          <w:rPr>
            <w:noProof/>
            <w:webHidden/>
          </w:rPr>
          <w:tab/>
        </w:r>
        <w:r>
          <w:rPr>
            <w:noProof/>
            <w:webHidden/>
          </w:rPr>
          <w:fldChar w:fldCharType="begin"/>
        </w:r>
        <w:r>
          <w:rPr>
            <w:noProof/>
            <w:webHidden/>
          </w:rPr>
          <w:instrText xml:space="preserve"> PAGEREF _Toc199350661 \h </w:instrText>
        </w:r>
        <w:r>
          <w:rPr>
            <w:noProof/>
            <w:webHidden/>
          </w:rPr>
        </w:r>
        <w:r>
          <w:rPr>
            <w:noProof/>
            <w:webHidden/>
          </w:rPr>
          <w:fldChar w:fldCharType="separate"/>
        </w:r>
        <w:r>
          <w:rPr>
            <w:noProof/>
            <w:webHidden/>
          </w:rPr>
          <w:t>3</w:t>
        </w:r>
        <w:r>
          <w:rPr>
            <w:noProof/>
            <w:webHidden/>
          </w:rPr>
          <w:fldChar w:fldCharType="end"/>
        </w:r>
      </w:hyperlink>
    </w:p>
    <w:p w14:paraId="5451BD54" w14:textId="3E52F973"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2" w:history="1">
        <w:r w:rsidRPr="002E59DE">
          <w:rPr>
            <w:rStyle w:val="Hyperlien"/>
            <w:noProof/>
          </w:rPr>
          <w:t>Le silence complice occidental</w:t>
        </w:r>
        <w:r>
          <w:rPr>
            <w:noProof/>
            <w:webHidden/>
          </w:rPr>
          <w:tab/>
        </w:r>
        <w:r>
          <w:rPr>
            <w:noProof/>
            <w:webHidden/>
          </w:rPr>
          <w:fldChar w:fldCharType="begin"/>
        </w:r>
        <w:r>
          <w:rPr>
            <w:noProof/>
            <w:webHidden/>
          </w:rPr>
          <w:instrText xml:space="preserve"> PAGEREF _Toc199350662 \h </w:instrText>
        </w:r>
        <w:r>
          <w:rPr>
            <w:noProof/>
            <w:webHidden/>
          </w:rPr>
        </w:r>
        <w:r>
          <w:rPr>
            <w:noProof/>
            <w:webHidden/>
          </w:rPr>
          <w:fldChar w:fldCharType="separate"/>
        </w:r>
        <w:r>
          <w:rPr>
            <w:noProof/>
            <w:webHidden/>
          </w:rPr>
          <w:t>4</w:t>
        </w:r>
        <w:r>
          <w:rPr>
            <w:noProof/>
            <w:webHidden/>
          </w:rPr>
          <w:fldChar w:fldCharType="end"/>
        </w:r>
      </w:hyperlink>
    </w:p>
    <w:p w14:paraId="5ED926FD" w14:textId="0D619612"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3" w:history="1">
        <w:r w:rsidRPr="002E59DE">
          <w:rPr>
            <w:rStyle w:val="Hyperlien"/>
            <w:noProof/>
            <w:lang w:val="es-ES"/>
          </w:rPr>
          <w:t>Les crimes de guerre israéliens</w:t>
        </w:r>
        <w:r>
          <w:rPr>
            <w:noProof/>
            <w:webHidden/>
          </w:rPr>
          <w:tab/>
        </w:r>
        <w:r>
          <w:rPr>
            <w:noProof/>
            <w:webHidden/>
          </w:rPr>
          <w:fldChar w:fldCharType="begin"/>
        </w:r>
        <w:r>
          <w:rPr>
            <w:noProof/>
            <w:webHidden/>
          </w:rPr>
          <w:instrText xml:space="preserve"> PAGEREF _Toc199350663 \h </w:instrText>
        </w:r>
        <w:r>
          <w:rPr>
            <w:noProof/>
            <w:webHidden/>
          </w:rPr>
        </w:r>
        <w:r>
          <w:rPr>
            <w:noProof/>
            <w:webHidden/>
          </w:rPr>
          <w:fldChar w:fldCharType="separate"/>
        </w:r>
        <w:r>
          <w:rPr>
            <w:noProof/>
            <w:webHidden/>
          </w:rPr>
          <w:t>5</w:t>
        </w:r>
        <w:r>
          <w:rPr>
            <w:noProof/>
            <w:webHidden/>
          </w:rPr>
          <w:fldChar w:fldCharType="end"/>
        </w:r>
      </w:hyperlink>
    </w:p>
    <w:p w14:paraId="4BB9B231" w14:textId="3A89D863"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4" w:history="1">
        <w:r w:rsidRPr="002E59DE">
          <w:rPr>
            <w:rStyle w:val="Hyperlien"/>
            <w:noProof/>
          </w:rPr>
          <w:t>L’usage de fakes news dans la propagande israélienne</w:t>
        </w:r>
        <w:r>
          <w:rPr>
            <w:noProof/>
            <w:webHidden/>
          </w:rPr>
          <w:tab/>
        </w:r>
        <w:r>
          <w:rPr>
            <w:noProof/>
            <w:webHidden/>
          </w:rPr>
          <w:fldChar w:fldCharType="begin"/>
        </w:r>
        <w:r>
          <w:rPr>
            <w:noProof/>
            <w:webHidden/>
          </w:rPr>
          <w:instrText xml:space="preserve"> PAGEREF _Toc199350664 \h </w:instrText>
        </w:r>
        <w:r>
          <w:rPr>
            <w:noProof/>
            <w:webHidden/>
          </w:rPr>
        </w:r>
        <w:r>
          <w:rPr>
            <w:noProof/>
            <w:webHidden/>
          </w:rPr>
          <w:fldChar w:fldCharType="separate"/>
        </w:r>
        <w:r>
          <w:rPr>
            <w:noProof/>
            <w:webHidden/>
          </w:rPr>
          <w:t>6</w:t>
        </w:r>
        <w:r>
          <w:rPr>
            <w:noProof/>
            <w:webHidden/>
          </w:rPr>
          <w:fldChar w:fldCharType="end"/>
        </w:r>
      </w:hyperlink>
    </w:p>
    <w:p w14:paraId="2DF5EC6D" w14:textId="2D90CFE0"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5" w:history="1">
        <w:r w:rsidRPr="002E59DE">
          <w:rPr>
            <w:rStyle w:val="Hyperlien"/>
            <w:noProof/>
          </w:rPr>
          <w:t>L’intention de génocide palestinien</w:t>
        </w:r>
        <w:r>
          <w:rPr>
            <w:noProof/>
            <w:webHidden/>
          </w:rPr>
          <w:tab/>
        </w:r>
        <w:r>
          <w:rPr>
            <w:noProof/>
            <w:webHidden/>
          </w:rPr>
          <w:fldChar w:fldCharType="begin"/>
        </w:r>
        <w:r>
          <w:rPr>
            <w:noProof/>
            <w:webHidden/>
          </w:rPr>
          <w:instrText xml:space="preserve"> PAGEREF _Toc199350665 \h </w:instrText>
        </w:r>
        <w:r>
          <w:rPr>
            <w:noProof/>
            <w:webHidden/>
          </w:rPr>
        </w:r>
        <w:r>
          <w:rPr>
            <w:noProof/>
            <w:webHidden/>
          </w:rPr>
          <w:fldChar w:fldCharType="separate"/>
        </w:r>
        <w:r>
          <w:rPr>
            <w:noProof/>
            <w:webHidden/>
          </w:rPr>
          <w:t>6</w:t>
        </w:r>
        <w:r>
          <w:rPr>
            <w:noProof/>
            <w:webHidden/>
          </w:rPr>
          <w:fldChar w:fldCharType="end"/>
        </w:r>
      </w:hyperlink>
    </w:p>
    <w:p w14:paraId="4E7BD748" w14:textId="27EA4520"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6" w:history="1">
        <w:r w:rsidRPr="002E59DE">
          <w:rPr>
            <w:rStyle w:val="Hyperlien"/>
            <w:noProof/>
          </w:rPr>
          <w:t>Quand les persécutés deviennent persécuteurs</w:t>
        </w:r>
        <w:r>
          <w:rPr>
            <w:noProof/>
            <w:webHidden/>
          </w:rPr>
          <w:tab/>
        </w:r>
        <w:r>
          <w:rPr>
            <w:noProof/>
            <w:webHidden/>
          </w:rPr>
          <w:fldChar w:fldCharType="begin"/>
        </w:r>
        <w:r>
          <w:rPr>
            <w:noProof/>
            <w:webHidden/>
          </w:rPr>
          <w:instrText xml:space="preserve"> PAGEREF _Toc199350666 \h </w:instrText>
        </w:r>
        <w:r>
          <w:rPr>
            <w:noProof/>
            <w:webHidden/>
          </w:rPr>
        </w:r>
        <w:r>
          <w:rPr>
            <w:noProof/>
            <w:webHidden/>
          </w:rPr>
          <w:fldChar w:fldCharType="separate"/>
        </w:r>
        <w:r>
          <w:rPr>
            <w:noProof/>
            <w:webHidden/>
          </w:rPr>
          <w:t>7</w:t>
        </w:r>
        <w:r>
          <w:rPr>
            <w:noProof/>
            <w:webHidden/>
          </w:rPr>
          <w:fldChar w:fldCharType="end"/>
        </w:r>
      </w:hyperlink>
    </w:p>
    <w:p w14:paraId="7FFEBC25" w14:textId="376FA472"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7" w:history="1">
        <w:r w:rsidRPr="002E59DE">
          <w:rPr>
            <w:rStyle w:val="Hyperlien"/>
            <w:noProof/>
          </w:rPr>
          <w:t>L’opposition des juifs à l’amalgame sionisme et judaïsme</w:t>
        </w:r>
        <w:r>
          <w:rPr>
            <w:noProof/>
            <w:webHidden/>
          </w:rPr>
          <w:tab/>
        </w:r>
        <w:r>
          <w:rPr>
            <w:noProof/>
            <w:webHidden/>
          </w:rPr>
          <w:fldChar w:fldCharType="begin"/>
        </w:r>
        <w:r>
          <w:rPr>
            <w:noProof/>
            <w:webHidden/>
          </w:rPr>
          <w:instrText xml:space="preserve"> PAGEREF _Toc199350667 \h </w:instrText>
        </w:r>
        <w:r>
          <w:rPr>
            <w:noProof/>
            <w:webHidden/>
          </w:rPr>
        </w:r>
        <w:r>
          <w:rPr>
            <w:noProof/>
            <w:webHidden/>
          </w:rPr>
          <w:fldChar w:fldCharType="separate"/>
        </w:r>
        <w:r>
          <w:rPr>
            <w:noProof/>
            <w:webHidden/>
          </w:rPr>
          <w:t>7</w:t>
        </w:r>
        <w:r>
          <w:rPr>
            <w:noProof/>
            <w:webHidden/>
          </w:rPr>
          <w:fldChar w:fldCharType="end"/>
        </w:r>
      </w:hyperlink>
    </w:p>
    <w:p w14:paraId="6A84D338" w14:textId="34E540A5"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8" w:history="1">
        <w:r w:rsidRPr="002E59DE">
          <w:rPr>
            <w:rStyle w:val="Hyperlien"/>
            <w:noProof/>
          </w:rPr>
          <w:t>Amalgame entre antisémitisme et antisionisme</w:t>
        </w:r>
        <w:r>
          <w:rPr>
            <w:noProof/>
            <w:webHidden/>
          </w:rPr>
          <w:tab/>
        </w:r>
        <w:r>
          <w:rPr>
            <w:noProof/>
            <w:webHidden/>
          </w:rPr>
          <w:fldChar w:fldCharType="begin"/>
        </w:r>
        <w:r>
          <w:rPr>
            <w:noProof/>
            <w:webHidden/>
          </w:rPr>
          <w:instrText xml:space="preserve"> PAGEREF _Toc199350668 \h </w:instrText>
        </w:r>
        <w:r>
          <w:rPr>
            <w:noProof/>
            <w:webHidden/>
          </w:rPr>
        </w:r>
        <w:r>
          <w:rPr>
            <w:noProof/>
            <w:webHidden/>
          </w:rPr>
          <w:fldChar w:fldCharType="separate"/>
        </w:r>
        <w:r>
          <w:rPr>
            <w:noProof/>
            <w:webHidden/>
          </w:rPr>
          <w:t>8</w:t>
        </w:r>
        <w:r>
          <w:rPr>
            <w:noProof/>
            <w:webHidden/>
          </w:rPr>
          <w:fldChar w:fldCharType="end"/>
        </w:r>
      </w:hyperlink>
    </w:p>
    <w:p w14:paraId="04A80E3F" w14:textId="541EAB85"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69" w:history="1">
        <w:r w:rsidRPr="002E59DE">
          <w:rPr>
            <w:rStyle w:val="Hyperlien"/>
            <w:noProof/>
          </w:rPr>
          <w:t>La partialité de l’information</w:t>
        </w:r>
        <w:r>
          <w:rPr>
            <w:noProof/>
            <w:webHidden/>
          </w:rPr>
          <w:tab/>
        </w:r>
        <w:r>
          <w:rPr>
            <w:noProof/>
            <w:webHidden/>
          </w:rPr>
          <w:fldChar w:fldCharType="begin"/>
        </w:r>
        <w:r>
          <w:rPr>
            <w:noProof/>
            <w:webHidden/>
          </w:rPr>
          <w:instrText xml:space="preserve"> PAGEREF _Toc199350669 \h </w:instrText>
        </w:r>
        <w:r>
          <w:rPr>
            <w:noProof/>
            <w:webHidden/>
          </w:rPr>
        </w:r>
        <w:r>
          <w:rPr>
            <w:noProof/>
            <w:webHidden/>
          </w:rPr>
          <w:fldChar w:fldCharType="separate"/>
        </w:r>
        <w:r>
          <w:rPr>
            <w:noProof/>
            <w:webHidden/>
          </w:rPr>
          <w:t>8</w:t>
        </w:r>
        <w:r>
          <w:rPr>
            <w:noProof/>
            <w:webHidden/>
          </w:rPr>
          <w:fldChar w:fldCharType="end"/>
        </w:r>
      </w:hyperlink>
    </w:p>
    <w:p w14:paraId="3E3746E0" w14:textId="5026B75B"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0" w:history="1">
        <w:r w:rsidRPr="002E59DE">
          <w:rPr>
            <w:rStyle w:val="Hyperlien"/>
            <w:noProof/>
          </w:rPr>
          <w:t>Instructions aux médias pour réduire l’usage des mots « génocide », « nettoyage ethnique »...</w:t>
        </w:r>
        <w:r>
          <w:rPr>
            <w:noProof/>
            <w:webHidden/>
          </w:rPr>
          <w:tab/>
        </w:r>
        <w:r>
          <w:rPr>
            <w:noProof/>
            <w:webHidden/>
          </w:rPr>
          <w:fldChar w:fldCharType="begin"/>
        </w:r>
        <w:r>
          <w:rPr>
            <w:noProof/>
            <w:webHidden/>
          </w:rPr>
          <w:instrText xml:space="preserve"> PAGEREF _Toc199350670 \h </w:instrText>
        </w:r>
        <w:r>
          <w:rPr>
            <w:noProof/>
            <w:webHidden/>
          </w:rPr>
        </w:r>
        <w:r>
          <w:rPr>
            <w:noProof/>
            <w:webHidden/>
          </w:rPr>
          <w:fldChar w:fldCharType="separate"/>
        </w:r>
        <w:r>
          <w:rPr>
            <w:noProof/>
            <w:webHidden/>
          </w:rPr>
          <w:t>9</w:t>
        </w:r>
        <w:r>
          <w:rPr>
            <w:noProof/>
            <w:webHidden/>
          </w:rPr>
          <w:fldChar w:fldCharType="end"/>
        </w:r>
      </w:hyperlink>
    </w:p>
    <w:p w14:paraId="69A6DDDB" w14:textId="5A3A5DD0"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1" w:history="1">
        <w:r w:rsidRPr="002E59DE">
          <w:rPr>
            <w:rStyle w:val="Hyperlien"/>
            <w:noProof/>
          </w:rPr>
          <w:t>Mise au pas des intellectuels occidentaux</w:t>
        </w:r>
        <w:r>
          <w:rPr>
            <w:noProof/>
            <w:webHidden/>
          </w:rPr>
          <w:tab/>
        </w:r>
        <w:r>
          <w:rPr>
            <w:noProof/>
            <w:webHidden/>
          </w:rPr>
          <w:fldChar w:fldCharType="begin"/>
        </w:r>
        <w:r>
          <w:rPr>
            <w:noProof/>
            <w:webHidden/>
          </w:rPr>
          <w:instrText xml:space="preserve"> PAGEREF _Toc199350671 \h </w:instrText>
        </w:r>
        <w:r>
          <w:rPr>
            <w:noProof/>
            <w:webHidden/>
          </w:rPr>
        </w:r>
        <w:r>
          <w:rPr>
            <w:noProof/>
            <w:webHidden/>
          </w:rPr>
          <w:fldChar w:fldCharType="separate"/>
        </w:r>
        <w:r>
          <w:rPr>
            <w:noProof/>
            <w:webHidden/>
          </w:rPr>
          <w:t>10</w:t>
        </w:r>
        <w:r>
          <w:rPr>
            <w:noProof/>
            <w:webHidden/>
          </w:rPr>
          <w:fldChar w:fldCharType="end"/>
        </w:r>
      </w:hyperlink>
    </w:p>
    <w:p w14:paraId="419A1CA2" w14:textId="15554051"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2" w:history="1">
        <w:r w:rsidRPr="002E59DE">
          <w:rPr>
            <w:rStyle w:val="Hyperlien"/>
            <w:noProof/>
          </w:rPr>
          <w:t>Israël, le paria du monde occidental</w:t>
        </w:r>
        <w:r>
          <w:rPr>
            <w:noProof/>
            <w:webHidden/>
          </w:rPr>
          <w:tab/>
        </w:r>
        <w:r>
          <w:rPr>
            <w:noProof/>
            <w:webHidden/>
          </w:rPr>
          <w:fldChar w:fldCharType="begin"/>
        </w:r>
        <w:r>
          <w:rPr>
            <w:noProof/>
            <w:webHidden/>
          </w:rPr>
          <w:instrText xml:space="preserve"> PAGEREF _Toc199350672 \h </w:instrText>
        </w:r>
        <w:r>
          <w:rPr>
            <w:noProof/>
            <w:webHidden/>
          </w:rPr>
        </w:r>
        <w:r>
          <w:rPr>
            <w:noProof/>
            <w:webHidden/>
          </w:rPr>
          <w:fldChar w:fldCharType="separate"/>
        </w:r>
        <w:r>
          <w:rPr>
            <w:noProof/>
            <w:webHidden/>
          </w:rPr>
          <w:t>10</w:t>
        </w:r>
        <w:r>
          <w:rPr>
            <w:noProof/>
            <w:webHidden/>
          </w:rPr>
          <w:fldChar w:fldCharType="end"/>
        </w:r>
      </w:hyperlink>
    </w:p>
    <w:p w14:paraId="50495947" w14:textId="0D142E04"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3" w:history="1">
        <w:r w:rsidRPr="002E59DE">
          <w:rPr>
            <w:rStyle w:val="Hyperlien"/>
            <w:noProof/>
          </w:rPr>
          <w:t>Pourquoi les gouvernements occidentaux n’ont-ils pas essayé d’arrêter le génocide ?</w:t>
        </w:r>
        <w:r>
          <w:rPr>
            <w:noProof/>
            <w:webHidden/>
          </w:rPr>
          <w:tab/>
        </w:r>
        <w:r>
          <w:rPr>
            <w:noProof/>
            <w:webHidden/>
          </w:rPr>
          <w:fldChar w:fldCharType="begin"/>
        </w:r>
        <w:r>
          <w:rPr>
            <w:noProof/>
            <w:webHidden/>
          </w:rPr>
          <w:instrText xml:space="preserve"> PAGEREF _Toc199350673 \h </w:instrText>
        </w:r>
        <w:r>
          <w:rPr>
            <w:noProof/>
            <w:webHidden/>
          </w:rPr>
        </w:r>
        <w:r>
          <w:rPr>
            <w:noProof/>
            <w:webHidden/>
          </w:rPr>
          <w:fldChar w:fldCharType="separate"/>
        </w:r>
        <w:r>
          <w:rPr>
            <w:noProof/>
            <w:webHidden/>
          </w:rPr>
          <w:t>11</w:t>
        </w:r>
        <w:r>
          <w:rPr>
            <w:noProof/>
            <w:webHidden/>
          </w:rPr>
          <w:fldChar w:fldCharType="end"/>
        </w:r>
      </w:hyperlink>
    </w:p>
    <w:p w14:paraId="28F2DE3F" w14:textId="4626F4F3"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4" w:history="1">
        <w:r w:rsidRPr="002E59DE">
          <w:rPr>
            <w:rStyle w:val="Hyperlien"/>
            <w:noProof/>
          </w:rPr>
          <w:t>Israël sous perfusion de l’aide américaine</w:t>
        </w:r>
        <w:r>
          <w:rPr>
            <w:noProof/>
            <w:webHidden/>
          </w:rPr>
          <w:tab/>
        </w:r>
        <w:r>
          <w:rPr>
            <w:noProof/>
            <w:webHidden/>
          </w:rPr>
          <w:fldChar w:fldCharType="begin"/>
        </w:r>
        <w:r>
          <w:rPr>
            <w:noProof/>
            <w:webHidden/>
          </w:rPr>
          <w:instrText xml:space="preserve"> PAGEREF _Toc199350674 \h </w:instrText>
        </w:r>
        <w:r>
          <w:rPr>
            <w:noProof/>
            <w:webHidden/>
          </w:rPr>
        </w:r>
        <w:r>
          <w:rPr>
            <w:noProof/>
            <w:webHidden/>
          </w:rPr>
          <w:fldChar w:fldCharType="separate"/>
        </w:r>
        <w:r>
          <w:rPr>
            <w:noProof/>
            <w:webHidden/>
          </w:rPr>
          <w:t>11</w:t>
        </w:r>
        <w:r>
          <w:rPr>
            <w:noProof/>
            <w:webHidden/>
          </w:rPr>
          <w:fldChar w:fldCharType="end"/>
        </w:r>
      </w:hyperlink>
    </w:p>
    <w:p w14:paraId="0844EE7B" w14:textId="0E040766"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5" w:history="1">
        <w:r w:rsidRPr="002E59DE">
          <w:rPr>
            <w:rStyle w:val="Hyperlien"/>
            <w:noProof/>
          </w:rPr>
          <w:t>Comment l’AIPAC a soudoyé les démocrates</w:t>
        </w:r>
        <w:r>
          <w:rPr>
            <w:noProof/>
            <w:webHidden/>
          </w:rPr>
          <w:tab/>
        </w:r>
        <w:r>
          <w:rPr>
            <w:noProof/>
            <w:webHidden/>
          </w:rPr>
          <w:fldChar w:fldCharType="begin"/>
        </w:r>
        <w:r>
          <w:rPr>
            <w:noProof/>
            <w:webHidden/>
          </w:rPr>
          <w:instrText xml:space="preserve"> PAGEREF _Toc199350675 \h </w:instrText>
        </w:r>
        <w:r>
          <w:rPr>
            <w:noProof/>
            <w:webHidden/>
          </w:rPr>
        </w:r>
        <w:r>
          <w:rPr>
            <w:noProof/>
            <w:webHidden/>
          </w:rPr>
          <w:fldChar w:fldCharType="separate"/>
        </w:r>
        <w:r>
          <w:rPr>
            <w:noProof/>
            <w:webHidden/>
          </w:rPr>
          <w:t>12</w:t>
        </w:r>
        <w:r>
          <w:rPr>
            <w:noProof/>
            <w:webHidden/>
          </w:rPr>
          <w:fldChar w:fldCharType="end"/>
        </w:r>
      </w:hyperlink>
    </w:p>
    <w:p w14:paraId="577DA51F" w14:textId="35AE7273"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6" w:history="1">
        <w:r w:rsidRPr="002E59DE">
          <w:rPr>
            <w:rStyle w:val="Hyperlien"/>
            <w:noProof/>
          </w:rPr>
          <w:t>Hostilité à l’encontre des musulmans et racisme anti-arabe</w:t>
        </w:r>
        <w:r>
          <w:rPr>
            <w:noProof/>
            <w:webHidden/>
          </w:rPr>
          <w:tab/>
        </w:r>
        <w:r>
          <w:rPr>
            <w:noProof/>
            <w:webHidden/>
          </w:rPr>
          <w:fldChar w:fldCharType="begin"/>
        </w:r>
        <w:r>
          <w:rPr>
            <w:noProof/>
            <w:webHidden/>
          </w:rPr>
          <w:instrText xml:space="preserve"> PAGEREF _Toc199350676 \h </w:instrText>
        </w:r>
        <w:r>
          <w:rPr>
            <w:noProof/>
            <w:webHidden/>
          </w:rPr>
        </w:r>
        <w:r>
          <w:rPr>
            <w:noProof/>
            <w:webHidden/>
          </w:rPr>
          <w:fldChar w:fldCharType="separate"/>
        </w:r>
        <w:r>
          <w:rPr>
            <w:noProof/>
            <w:webHidden/>
          </w:rPr>
          <w:t>13</w:t>
        </w:r>
        <w:r>
          <w:rPr>
            <w:noProof/>
            <w:webHidden/>
          </w:rPr>
          <w:fldChar w:fldCharType="end"/>
        </w:r>
      </w:hyperlink>
    </w:p>
    <w:p w14:paraId="0A347832" w14:textId="7A1173DE"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7" w:history="1">
        <w:r w:rsidRPr="002E59DE">
          <w:rPr>
            <w:rStyle w:val="Hyperlien"/>
            <w:noProof/>
          </w:rPr>
          <w:t>Ce ne sont pas les Palestiniens qui ont persécuté les Juifs pendant des siècles...</w:t>
        </w:r>
        <w:r>
          <w:rPr>
            <w:noProof/>
            <w:webHidden/>
          </w:rPr>
          <w:tab/>
        </w:r>
        <w:r>
          <w:rPr>
            <w:noProof/>
            <w:webHidden/>
          </w:rPr>
          <w:fldChar w:fldCharType="begin"/>
        </w:r>
        <w:r>
          <w:rPr>
            <w:noProof/>
            <w:webHidden/>
          </w:rPr>
          <w:instrText xml:space="preserve"> PAGEREF _Toc199350677 \h </w:instrText>
        </w:r>
        <w:r>
          <w:rPr>
            <w:noProof/>
            <w:webHidden/>
          </w:rPr>
        </w:r>
        <w:r>
          <w:rPr>
            <w:noProof/>
            <w:webHidden/>
          </w:rPr>
          <w:fldChar w:fldCharType="separate"/>
        </w:r>
        <w:r>
          <w:rPr>
            <w:noProof/>
            <w:webHidden/>
          </w:rPr>
          <w:t>14</w:t>
        </w:r>
        <w:r>
          <w:rPr>
            <w:noProof/>
            <w:webHidden/>
          </w:rPr>
          <w:fldChar w:fldCharType="end"/>
        </w:r>
      </w:hyperlink>
    </w:p>
    <w:p w14:paraId="19F3D927" w14:textId="3BFBE271"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8" w:history="1">
        <w:r w:rsidRPr="002E59DE">
          <w:rPr>
            <w:rStyle w:val="Hyperlien"/>
            <w:noProof/>
          </w:rPr>
          <w:t>La crise morale occidentale</w:t>
        </w:r>
        <w:r>
          <w:rPr>
            <w:noProof/>
            <w:webHidden/>
          </w:rPr>
          <w:tab/>
        </w:r>
        <w:r>
          <w:rPr>
            <w:noProof/>
            <w:webHidden/>
          </w:rPr>
          <w:fldChar w:fldCharType="begin"/>
        </w:r>
        <w:r>
          <w:rPr>
            <w:noProof/>
            <w:webHidden/>
          </w:rPr>
          <w:instrText xml:space="preserve"> PAGEREF _Toc199350678 \h </w:instrText>
        </w:r>
        <w:r>
          <w:rPr>
            <w:noProof/>
            <w:webHidden/>
          </w:rPr>
        </w:r>
        <w:r>
          <w:rPr>
            <w:noProof/>
            <w:webHidden/>
          </w:rPr>
          <w:fldChar w:fldCharType="separate"/>
        </w:r>
        <w:r>
          <w:rPr>
            <w:noProof/>
            <w:webHidden/>
          </w:rPr>
          <w:t>14</w:t>
        </w:r>
        <w:r>
          <w:rPr>
            <w:noProof/>
            <w:webHidden/>
          </w:rPr>
          <w:fldChar w:fldCharType="end"/>
        </w:r>
      </w:hyperlink>
    </w:p>
    <w:p w14:paraId="3ADE6F7B" w14:textId="111B3482"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79" w:history="1">
        <w:r w:rsidRPr="002E59DE">
          <w:rPr>
            <w:rStyle w:val="Hyperlien"/>
            <w:noProof/>
          </w:rPr>
          <w:t>Quand on appelle « antisémites » les demandes d’arrêter de tuer des civils</w:t>
        </w:r>
        <w:r>
          <w:rPr>
            <w:noProof/>
            <w:webHidden/>
          </w:rPr>
          <w:tab/>
        </w:r>
        <w:r>
          <w:rPr>
            <w:noProof/>
            <w:webHidden/>
          </w:rPr>
          <w:fldChar w:fldCharType="begin"/>
        </w:r>
        <w:r>
          <w:rPr>
            <w:noProof/>
            <w:webHidden/>
          </w:rPr>
          <w:instrText xml:space="preserve"> PAGEREF _Toc199350679 \h </w:instrText>
        </w:r>
        <w:r>
          <w:rPr>
            <w:noProof/>
            <w:webHidden/>
          </w:rPr>
        </w:r>
        <w:r>
          <w:rPr>
            <w:noProof/>
            <w:webHidden/>
          </w:rPr>
          <w:fldChar w:fldCharType="separate"/>
        </w:r>
        <w:r>
          <w:rPr>
            <w:noProof/>
            <w:webHidden/>
          </w:rPr>
          <w:t>15</w:t>
        </w:r>
        <w:r>
          <w:rPr>
            <w:noProof/>
            <w:webHidden/>
          </w:rPr>
          <w:fldChar w:fldCharType="end"/>
        </w:r>
      </w:hyperlink>
    </w:p>
    <w:p w14:paraId="02679203" w14:textId="03CE4449" w:rsidR="00DB0E24" w:rsidRDefault="00DB0E24">
      <w:pPr>
        <w:pStyle w:val="TM1"/>
        <w:tabs>
          <w:tab w:val="right" w:leader="dot" w:pos="8890"/>
        </w:tabs>
        <w:rPr>
          <w:rFonts w:asciiTheme="minorHAnsi" w:eastAsiaTheme="minorEastAsia" w:hAnsiTheme="minorHAnsi" w:cstheme="minorBidi"/>
          <w:noProof/>
          <w:kern w:val="2"/>
          <w:sz w:val="24"/>
          <w:szCs w:val="24"/>
          <w:lang w:val="fr-CA" w:eastAsia="zh-CN"/>
          <w14:ligatures w14:val="standardContextual"/>
        </w:rPr>
      </w:pPr>
      <w:hyperlink w:anchor="_Toc199350680" w:history="1">
        <w:r w:rsidRPr="002E59DE">
          <w:rPr>
            <w:rStyle w:val="Hyperlien"/>
            <w:noProof/>
          </w:rPr>
          <w:t>Si je dois mourir, un poème de Refaat Alareer</w:t>
        </w:r>
        <w:r>
          <w:rPr>
            <w:noProof/>
            <w:webHidden/>
          </w:rPr>
          <w:tab/>
        </w:r>
        <w:r>
          <w:rPr>
            <w:noProof/>
            <w:webHidden/>
          </w:rPr>
          <w:fldChar w:fldCharType="begin"/>
        </w:r>
        <w:r>
          <w:rPr>
            <w:noProof/>
            <w:webHidden/>
          </w:rPr>
          <w:instrText xml:space="preserve"> PAGEREF _Toc199350680 \h </w:instrText>
        </w:r>
        <w:r>
          <w:rPr>
            <w:noProof/>
            <w:webHidden/>
          </w:rPr>
        </w:r>
        <w:r>
          <w:rPr>
            <w:noProof/>
            <w:webHidden/>
          </w:rPr>
          <w:fldChar w:fldCharType="separate"/>
        </w:r>
        <w:r>
          <w:rPr>
            <w:noProof/>
            <w:webHidden/>
          </w:rPr>
          <w:t>15</w:t>
        </w:r>
        <w:r>
          <w:rPr>
            <w:noProof/>
            <w:webHidden/>
          </w:rPr>
          <w:fldChar w:fldCharType="end"/>
        </w:r>
      </w:hyperlink>
    </w:p>
    <w:p w14:paraId="6097A58B" w14:textId="5A5925C6" w:rsidR="00652A9C" w:rsidRPr="00EB2911" w:rsidRDefault="00652A9C" w:rsidP="001D50D4">
      <w:pPr>
        <w:rPr>
          <w:rFonts w:cs="Calibri"/>
        </w:rPr>
      </w:pPr>
      <w:r>
        <w:rPr>
          <w:rFonts w:cs="Calibri"/>
        </w:rPr>
        <w:fldChar w:fldCharType="end"/>
      </w:r>
    </w:p>
    <w:p w14:paraId="7675AB9A" w14:textId="214F5174" w:rsidR="00CB74A1" w:rsidRPr="00EB2911" w:rsidRDefault="00CB74A1" w:rsidP="00CB74A1">
      <w:pPr>
        <w:pStyle w:val="Titre1"/>
      </w:pPr>
      <w:bookmarkStart w:id="0" w:name="_Toc199350658"/>
      <w:r w:rsidRPr="00EB2911">
        <w:t>Relativisation des événements de Gaza</w:t>
      </w:r>
      <w:bookmarkEnd w:id="0"/>
    </w:p>
    <w:p w14:paraId="6C7370DE" w14:textId="33AAD98B" w:rsidR="00E567BB" w:rsidRPr="00EB2911" w:rsidRDefault="00000000" w:rsidP="001D50D4">
      <w:pPr>
        <w:rPr>
          <w:rFonts w:cs="Calibri"/>
        </w:rPr>
      </w:pPr>
      <w:r w:rsidRPr="00EB2911">
        <w:rPr>
          <w:rFonts w:cs="Calibri"/>
        </w:rPr>
        <w:t>Ce sont d’ailleurs ces guerres et ces massacres durant ce siècle] que certains invoquent pour relativiser la singularité de l’écrasement de Gaza. Il y a aussi, observent-ils avec raison, le Congo et le Kivu, le Soudan et le Darfour, l’Éthiopie et le Tigré, la Turquie et les Kurdes, la Russie et les Ukrainiens, le Myanmar et les Rohingyas, la Chine et les Ouïghours, et d’autres encore. Chacune de ces situations est tragique. Certaines ont causé un plus grand nombre de victimes qu’on n’en déplore à Gaza. Mais aucune de ces guerres et aucun de ces massacres n’a fait l’objet d’un soutien aussi indéfectible des gouvernements occidentaux et d’une condamnation aussi systématique de celles et ceux qui les dénoncent, alors même que l’ampleur de la dévastation et la volonté d’effacement y sont sans commune mesure.</w:t>
      </w:r>
      <w:r w:rsidR="00CB74A1" w:rsidRPr="00EB2911">
        <w:rPr>
          <w:rStyle w:val="Appelnotedebasdep"/>
          <w:rFonts w:cs="Calibri"/>
        </w:rPr>
        <w:footnoteReference w:id="1"/>
      </w:r>
    </w:p>
    <w:p w14:paraId="51ED7F01" w14:textId="77777777" w:rsidR="00E567BB" w:rsidRPr="00EB2911" w:rsidRDefault="00E567BB" w:rsidP="001D50D4">
      <w:pPr>
        <w:rPr>
          <w:rFonts w:cs="Calibri"/>
        </w:rPr>
      </w:pPr>
    </w:p>
    <w:p w14:paraId="14BDD1FB" w14:textId="3A608EAA" w:rsidR="005373A3" w:rsidRPr="00EB2911" w:rsidRDefault="005373A3" w:rsidP="005373A3">
      <w:pPr>
        <w:jc w:val="center"/>
        <w:rPr>
          <w:rFonts w:cs="Calibri"/>
          <w:lang w:val="es-ES"/>
        </w:rPr>
      </w:pPr>
      <w:r w:rsidRPr="00EB2911">
        <w:rPr>
          <w:rFonts w:cs="Calibri"/>
          <w:lang w:val="es-ES"/>
        </w:rPr>
        <w:t>- o - o - o -</w:t>
      </w:r>
    </w:p>
    <w:p w14:paraId="52CB09BA" w14:textId="77777777" w:rsidR="005373A3" w:rsidRPr="00EB2911" w:rsidRDefault="005373A3" w:rsidP="001D50D4">
      <w:pPr>
        <w:rPr>
          <w:rFonts w:cs="Calibri"/>
          <w:lang w:val="es-ES"/>
        </w:rPr>
      </w:pPr>
    </w:p>
    <w:p w14:paraId="1F2E2527" w14:textId="533ECCDA" w:rsidR="00E567BB" w:rsidRPr="00CC7372" w:rsidRDefault="00000000" w:rsidP="00DB0E24">
      <w:pPr>
        <w:pStyle w:val="Titre1"/>
        <w:rPr>
          <w:lang w:val="es-ES"/>
        </w:rPr>
      </w:pPr>
      <w:bookmarkStart w:id="1" w:name="_Toc199350659"/>
      <w:r w:rsidRPr="00CC7372">
        <w:rPr>
          <w:lang w:val="es-ES"/>
        </w:rPr>
        <w:t xml:space="preserve">Les </w:t>
      </w:r>
      <w:proofErr w:type="spellStart"/>
      <w:r w:rsidRPr="00CC7372">
        <w:rPr>
          <w:lang w:val="es-ES"/>
        </w:rPr>
        <w:t>fakes</w:t>
      </w:r>
      <w:proofErr w:type="spellEnd"/>
      <w:r w:rsidRPr="00CC7372">
        <w:rPr>
          <w:lang w:val="es-ES"/>
        </w:rPr>
        <w:t xml:space="preserve"> </w:t>
      </w:r>
      <w:proofErr w:type="spellStart"/>
      <w:r w:rsidRPr="00CC7372">
        <w:rPr>
          <w:lang w:val="es-ES"/>
        </w:rPr>
        <w:t>news</w:t>
      </w:r>
      <w:proofErr w:type="spellEnd"/>
      <w:r w:rsidRPr="00CC7372">
        <w:rPr>
          <w:lang w:val="es-ES"/>
        </w:rPr>
        <w:t xml:space="preserve"> </w:t>
      </w:r>
      <w:proofErr w:type="spellStart"/>
      <w:r w:rsidRPr="00CC7372">
        <w:rPr>
          <w:lang w:val="es-ES"/>
        </w:rPr>
        <w:t>israéliennes</w:t>
      </w:r>
      <w:bookmarkEnd w:id="1"/>
      <w:proofErr w:type="spellEnd"/>
    </w:p>
    <w:p w14:paraId="5BFE55DC" w14:textId="0448F5A9" w:rsidR="00E567BB" w:rsidRPr="00EB2911" w:rsidRDefault="00000000" w:rsidP="001D50D4">
      <w:pPr>
        <w:rPr>
          <w:rFonts w:cs="Calibri"/>
        </w:rPr>
      </w:pPr>
      <w:r w:rsidRPr="00EB2911">
        <w:rPr>
          <w:rFonts w:cs="Calibri"/>
        </w:rPr>
        <w:t xml:space="preserve">Les exactions commises par les assaillants le 7 octobre ont donné matière à des déclarations contradictoires et des controverses vives (1). Ainsi, des récits faisant état de </w:t>
      </w:r>
      <w:proofErr w:type="spellStart"/>
      <w:r w:rsidRPr="00EB2911">
        <w:rPr>
          <w:rFonts w:cs="Calibri"/>
        </w:rPr>
        <w:t>quarantes</w:t>
      </w:r>
      <w:proofErr w:type="spellEnd"/>
      <w:r w:rsidRPr="00EB2911">
        <w:rPr>
          <w:rFonts w:cs="Calibri"/>
        </w:rPr>
        <w:t xml:space="preserve"> nourrissons décapités et d’une femme enceinte éventrée qui ont nourri le sentiment d’horreur et le désir de vengeance ont été formellement invalidés, après avoir été répétés pendant des semaines dans les médias et les milieux politiques, y compris par le président des États-Unis (2). De même, le témoignage d’un infirmier israélien déclarant avoir vu dans un kibboutz deux adolescentes partiellement dévêtues présentant des signes d’agression sexuelles a été démenti par une vidéo prise sur les lieux par un militaire, après avoir là encore été repris par les grands organes de presse internationaux (3). Quant à l’article d’investigation d’un grand quotidien états-unien qui rapportait en une le viol d’une jeune femme israélienne pendant la </w:t>
      </w:r>
      <w:r w:rsidRPr="00EB2911">
        <w:rPr>
          <w:rFonts w:cs="Calibri"/>
          <w:i/>
        </w:rPr>
        <w:t xml:space="preserve">rave party </w:t>
      </w:r>
      <w:r w:rsidRPr="00EB2911">
        <w:rPr>
          <w:rFonts w:cs="Calibri"/>
        </w:rPr>
        <w:t xml:space="preserve">sur la base de la déclaration d’une personne connue pour diffuser des théories du complot d’extrême-droite, les faits ont été contestés par la famille qui a déclaré avoir été manipulée par les journalistes (4). Néanmoins, malgré les difficultés rencontrées pour vérifier les faits, en raison notamment du refus des autorités israéliennes de coopérer avec la Commission internationale indépendante des Nations unies sur les violences sexuelles dans les situations de conflit, de l’impossibilité pour ses membres de rencontrer aucun témoin direct, de l’interdiction faite aux médecins ayant soigné les survivants de parler aux experts et de l’absence de preuves médico-légales des violences alléguées, le rapport </w:t>
      </w:r>
      <w:r w:rsidRPr="00EB2911">
        <w:rPr>
          <w:rFonts w:cs="Calibri"/>
        </w:rPr>
        <w:lastRenderedPageBreak/>
        <w:t xml:space="preserve">de cette commission rédigé au terme d’une brève et difficile mission, quatre mois après l’attaque, indique qu’il existe des </w:t>
      </w:r>
      <w:r w:rsidR="00FF4E08" w:rsidRPr="00EB2911">
        <w:rPr>
          <w:rFonts w:cs="Calibri"/>
        </w:rPr>
        <w:t>« </w:t>
      </w:r>
      <w:r w:rsidRPr="00EB2911">
        <w:rPr>
          <w:rFonts w:cs="Calibri"/>
        </w:rPr>
        <w:t>motifs raisonnables de croire</w:t>
      </w:r>
      <w:r w:rsidR="00FF4E08" w:rsidRPr="00EB2911">
        <w:rPr>
          <w:rFonts w:cs="Calibri"/>
        </w:rPr>
        <w:t> »</w:t>
      </w:r>
      <w:r w:rsidRPr="00EB2911">
        <w:rPr>
          <w:rFonts w:cs="Calibri"/>
        </w:rPr>
        <w:t xml:space="preserve"> que des violences sexuelles ont été commises par les combattants palestiniens.</w:t>
      </w:r>
      <w:r w:rsidR="005373A3" w:rsidRPr="00EB2911">
        <w:rPr>
          <w:rStyle w:val="Appelnotedebasdep"/>
          <w:rFonts w:cs="Calibri"/>
        </w:rPr>
        <w:footnoteReference w:id="2"/>
      </w:r>
    </w:p>
    <w:p w14:paraId="29774DBC" w14:textId="77777777" w:rsidR="00CB74A1" w:rsidRPr="00EB2911" w:rsidRDefault="00CB74A1" w:rsidP="001D50D4">
      <w:pPr>
        <w:rPr>
          <w:rFonts w:cs="Calibri"/>
        </w:rPr>
      </w:pPr>
    </w:p>
    <w:p w14:paraId="1EA4AC27" w14:textId="244AADD2" w:rsidR="001D50D4" w:rsidRPr="00EB2911" w:rsidRDefault="00000000" w:rsidP="005373A3">
      <w:pPr>
        <w:pStyle w:val="Paragraphedeliste"/>
        <w:numPr>
          <w:ilvl w:val="0"/>
          <w:numId w:val="19"/>
        </w:numPr>
        <w:rPr>
          <w:rFonts w:cs="Calibri"/>
        </w:rPr>
      </w:pPr>
      <w:r w:rsidRPr="00EB2911">
        <w:rPr>
          <w:rFonts w:cs="Calibri"/>
        </w:rPr>
        <w:t xml:space="preserve">Quelques-unes de ces controverses ont été discutées par Ellen </w:t>
      </w:r>
      <w:proofErr w:type="spellStart"/>
      <w:r w:rsidRPr="00EB2911">
        <w:rPr>
          <w:rFonts w:cs="Calibri"/>
        </w:rPr>
        <w:t>Ioannes</w:t>
      </w:r>
      <w:proofErr w:type="spellEnd"/>
      <w:r w:rsidRPr="00EB2911">
        <w:rPr>
          <w:rFonts w:cs="Calibri"/>
        </w:rPr>
        <w:t xml:space="preserve">, </w:t>
      </w:r>
      <w:r w:rsidR="00FF4E08" w:rsidRPr="00EB2911">
        <w:rPr>
          <w:rFonts w:cs="Calibri"/>
        </w:rPr>
        <w:t>« </w:t>
      </w:r>
      <w:proofErr w:type="spellStart"/>
      <w:r w:rsidRPr="00EB2911">
        <w:rPr>
          <w:rFonts w:cs="Calibri"/>
          <w:i/>
        </w:rPr>
        <w:t>What</w:t>
      </w:r>
      <w:proofErr w:type="spellEnd"/>
      <w:r w:rsidRPr="00EB2911">
        <w:rPr>
          <w:rFonts w:cs="Calibri"/>
          <w:i/>
        </w:rPr>
        <w:t xml:space="preserve"> the UN report on </w:t>
      </w:r>
      <w:proofErr w:type="spellStart"/>
      <w:r w:rsidRPr="00EB2911">
        <w:rPr>
          <w:rFonts w:cs="Calibri"/>
          <w:i/>
        </w:rPr>
        <w:t>October</w:t>
      </w:r>
      <w:proofErr w:type="spellEnd"/>
      <w:r w:rsidRPr="00EB2911">
        <w:rPr>
          <w:rFonts w:cs="Calibri"/>
          <w:i/>
        </w:rPr>
        <w:t xml:space="preserve"> 7 </w:t>
      </w:r>
      <w:proofErr w:type="spellStart"/>
      <w:r w:rsidRPr="00EB2911">
        <w:rPr>
          <w:rFonts w:cs="Calibri"/>
          <w:i/>
        </w:rPr>
        <w:t>sexual</w:t>
      </w:r>
      <w:proofErr w:type="spellEnd"/>
      <w:r w:rsidRPr="00EB2911">
        <w:rPr>
          <w:rFonts w:cs="Calibri"/>
          <w:i/>
        </w:rPr>
        <w:t xml:space="preserve"> violence </w:t>
      </w:r>
      <w:proofErr w:type="spellStart"/>
      <w:r w:rsidRPr="00EB2911">
        <w:rPr>
          <w:rFonts w:cs="Calibri"/>
          <w:i/>
        </w:rPr>
        <w:t>does</w:t>
      </w:r>
      <w:proofErr w:type="spellEnd"/>
      <w:r w:rsidRPr="00EB2911">
        <w:rPr>
          <w:rFonts w:cs="Calibri"/>
          <w:i/>
        </w:rPr>
        <w:t xml:space="preserve"> – and </w:t>
      </w:r>
      <w:proofErr w:type="spellStart"/>
      <w:r w:rsidRPr="00EB2911">
        <w:rPr>
          <w:rFonts w:cs="Calibri"/>
          <w:i/>
        </w:rPr>
        <w:t>doesn’t</w:t>
      </w:r>
      <w:proofErr w:type="spellEnd"/>
      <w:r w:rsidRPr="00EB2911">
        <w:rPr>
          <w:rFonts w:cs="Calibri"/>
          <w:i/>
        </w:rPr>
        <w:t xml:space="preserve"> – </w:t>
      </w:r>
      <w:proofErr w:type="spellStart"/>
      <w:r w:rsidRPr="00EB2911">
        <w:rPr>
          <w:rFonts w:cs="Calibri"/>
          <w:i/>
        </w:rPr>
        <w:t>say</w:t>
      </w:r>
      <w:proofErr w:type="spellEnd"/>
      <w:r w:rsidR="00FF4E08" w:rsidRPr="00EB2911">
        <w:rPr>
          <w:rFonts w:cs="Calibri"/>
          <w:i/>
        </w:rPr>
        <w:t> »</w:t>
      </w:r>
      <w:r w:rsidRPr="00EB2911">
        <w:rPr>
          <w:rFonts w:cs="Calibri"/>
        </w:rPr>
        <w:t>, Vox, 7 mars 2024.</w:t>
      </w:r>
    </w:p>
    <w:p w14:paraId="18A787B7" w14:textId="3EDE0340" w:rsidR="00E567BB" w:rsidRPr="00EB2911" w:rsidRDefault="00000000" w:rsidP="005373A3">
      <w:pPr>
        <w:pStyle w:val="Paragraphedeliste"/>
        <w:numPr>
          <w:ilvl w:val="0"/>
          <w:numId w:val="19"/>
        </w:numPr>
        <w:rPr>
          <w:rFonts w:cs="Calibri"/>
          <w:lang w:val="en-US"/>
        </w:rPr>
      </w:pPr>
      <w:r w:rsidRPr="00EB2911">
        <w:rPr>
          <w:rFonts w:cs="Calibri"/>
        </w:rPr>
        <w:t xml:space="preserve">Les récits d’atrocités qui ont été inventées ou manipulés ont indéniablement porté préjudice aux témoignages crédibles : </w:t>
      </w:r>
      <w:proofErr w:type="spellStart"/>
      <w:r w:rsidRPr="00EB2911">
        <w:rPr>
          <w:rFonts w:cs="Calibri"/>
        </w:rPr>
        <w:t>Nir</w:t>
      </w:r>
      <w:proofErr w:type="spellEnd"/>
      <w:r w:rsidRPr="00EB2911">
        <w:rPr>
          <w:rFonts w:cs="Calibri"/>
        </w:rPr>
        <w:t xml:space="preserve"> </w:t>
      </w:r>
      <w:proofErr w:type="spellStart"/>
      <w:r w:rsidRPr="00EB2911">
        <w:rPr>
          <w:rFonts w:cs="Calibri"/>
        </w:rPr>
        <w:t>Hasson</w:t>
      </w:r>
      <w:proofErr w:type="spellEnd"/>
      <w:r w:rsidRPr="00EB2911">
        <w:rPr>
          <w:rFonts w:cs="Calibri"/>
        </w:rPr>
        <w:t xml:space="preserve"> et Liza </w:t>
      </w:r>
      <w:proofErr w:type="spellStart"/>
      <w:r w:rsidRPr="00EB2911">
        <w:rPr>
          <w:rFonts w:cs="Calibri"/>
        </w:rPr>
        <w:t>Rozovsky</w:t>
      </w:r>
      <w:proofErr w:type="spellEnd"/>
      <w:r w:rsidRPr="00EB2911">
        <w:rPr>
          <w:rFonts w:cs="Calibri"/>
        </w:rPr>
        <w:t xml:space="preserve">, </w:t>
      </w:r>
      <w:r w:rsidR="00FF4E08" w:rsidRPr="00EB2911">
        <w:rPr>
          <w:rFonts w:cs="Calibri"/>
        </w:rPr>
        <w:t>« </w:t>
      </w:r>
      <w:r w:rsidRPr="00EB2911">
        <w:rPr>
          <w:rFonts w:cs="Calibri"/>
          <w:i/>
        </w:rPr>
        <w:t xml:space="preserve">Hamas </w:t>
      </w:r>
      <w:proofErr w:type="spellStart"/>
      <w:r w:rsidRPr="00EB2911">
        <w:rPr>
          <w:rFonts w:cs="Calibri"/>
          <w:i/>
        </w:rPr>
        <w:t>committed</w:t>
      </w:r>
      <w:proofErr w:type="spellEnd"/>
      <w:r w:rsidRPr="00EB2911">
        <w:rPr>
          <w:rFonts w:cs="Calibri"/>
          <w:i/>
        </w:rPr>
        <w:t xml:space="preserve"> </w:t>
      </w:r>
      <w:proofErr w:type="spellStart"/>
      <w:r w:rsidRPr="00EB2911">
        <w:rPr>
          <w:rFonts w:cs="Calibri"/>
          <w:i/>
        </w:rPr>
        <w:t>documented</w:t>
      </w:r>
      <w:proofErr w:type="spellEnd"/>
      <w:r w:rsidRPr="00EB2911">
        <w:rPr>
          <w:rFonts w:cs="Calibri"/>
          <w:i/>
        </w:rPr>
        <w:t xml:space="preserve"> </w:t>
      </w:r>
      <w:proofErr w:type="spellStart"/>
      <w:r w:rsidRPr="00EB2911">
        <w:rPr>
          <w:rFonts w:cs="Calibri"/>
          <w:i/>
        </w:rPr>
        <w:t>atrocities</w:t>
      </w:r>
      <w:proofErr w:type="spellEnd"/>
      <w:r w:rsidRPr="00EB2911">
        <w:rPr>
          <w:rFonts w:cs="Calibri"/>
          <w:i/>
        </w:rPr>
        <w:t xml:space="preserve">. </w:t>
      </w:r>
      <w:r w:rsidRPr="00EB2911">
        <w:rPr>
          <w:rFonts w:cs="Calibri"/>
          <w:i/>
          <w:lang w:val="en-US"/>
        </w:rPr>
        <w:t>But a few false stories feed the deniers</w:t>
      </w:r>
      <w:r w:rsidR="00FF4E08" w:rsidRPr="00EB2911">
        <w:rPr>
          <w:rFonts w:cs="Calibri"/>
          <w:i/>
          <w:lang w:val="en-US"/>
        </w:rPr>
        <w:t> »</w:t>
      </w:r>
      <w:r w:rsidRPr="00EB2911">
        <w:rPr>
          <w:rFonts w:cs="Calibri"/>
          <w:lang w:val="en-US"/>
        </w:rPr>
        <w:t xml:space="preserve">, Haaretz, 4 </w:t>
      </w:r>
      <w:proofErr w:type="spellStart"/>
      <w:r w:rsidRPr="00EB2911">
        <w:rPr>
          <w:rFonts w:cs="Calibri"/>
          <w:lang w:val="en-US"/>
        </w:rPr>
        <w:t>décembre</w:t>
      </w:r>
      <w:proofErr w:type="spellEnd"/>
      <w:r w:rsidRPr="00EB2911">
        <w:rPr>
          <w:rFonts w:cs="Calibri"/>
          <w:lang w:val="en-US"/>
        </w:rPr>
        <w:t xml:space="preserve"> 2023.</w:t>
      </w:r>
    </w:p>
    <w:p w14:paraId="6E0E3C56" w14:textId="48DAE826" w:rsidR="00E567BB" w:rsidRPr="00EB2911" w:rsidRDefault="00000000" w:rsidP="005373A3">
      <w:pPr>
        <w:pStyle w:val="Paragraphedeliste"/>
        <w:numPr>
          <w:ilvl w:val="0"/>
          <w:numId w:val="19"/>
        </w:numPr>
        <w:rPr>
          <w:rFonts w:cs="Calibri"/>
          <w:lang w:val="en-US"/>
        </w:rPr>
      </w:pPr>
      <w:r w:rsidRPr="00EB2911">
        <w:rPr>
          <w:rFonts w:cs="Calibri"/>
          <w:lang w:val="en-US"/>
        </w:rPr>
        <w:t xml:space="preserve">Adam </w:t>
      </w:r>
      <w:proofErr w:type="spellStart"/>
      <w:r w:rsidRPr="00EB2911">
        <w:rPr>
          <w:rFonts w:cs="Calibri"/>
          <w:lang w:val="en-US"/>
        </w:rPr>
        <w:t>Rasgon</w:t>
      </w:r>
      <w:proofErr w:type="spellEnd"/>
      <w:r w:rsidRPr="00EB2911">
        <w:rPr>
          <w:rFonts w:cs="Calibri"/>
          <w:lang w:val="en-US"/>
        </w:rPr>
        <w:t xml:space="preserve"> et </w:t>
      </w:r>
      <w:proofErr w:type="spellStart"/>
      <w:r w:rsidRPr="00EB2911">
        <w:rPr>
          <w:rFonts w:cs="Calibri"/>
          <w:lang w:val="en-US"/>
        </w:rPr>
        <w:t>Natan</w:t>
      </w:r>
      <w:proofErr w:type="spellEnd"/>
      <w:r w:rsidRPr="00EB2911">
        <w:rPr>
          <w:rFonts w:cs="Calibri"/>
          <w:lang w:val="en-US"/>
        </w:rPr>
        <w:t xml:space="preserve"> </w:t>
      </w:r>
      <w:proofErr w:type="spellStart"/>
      <w:r w:rsidRPr="00EB2911">
        <w:rPr>
          <w:rFonts w:cs="Calibri"/>
          <w:lang w:val="en-US"/>
        </w:rPr>
        <w:t>Odemheimer</w:t>
      </w:r>
      <w:proofErr w:type="spellEnd"/>
      <w:r w:rsidRPr="00EB2911">
        <w:rPr>
          <w:rFonts w:cs="Calibri"/>
          <w:lang w:val="en-US"/>
        </w:rPr>
        <w:t xml:space="preserve">, </w:t>
      </w:r>
      <w:r w:rsidR="00FF4E08" w:rsidRPr="00EB2911">
        <w:rPr>
          <w:rFonts w:cs="Calibri"/>
          <w:lang w:val="en-US"/>
        </w:rPr>
        <w:t>« </w:t>
      </w:r>
      <w:r w:rsidRPr="00EB2911">
        <w:rPr>
          <w:rFonts w:cs="Calibri"/>
          <w:lang w:val="en-US"/>
        </w:rPr>
        <w:t xml:space="preserve">Israeli soldier’s video undercuts medic’s account of </w:t>
      </w:r>
      <w:r w:rsidR="005373A3" w:rsidRPr="00EB2911">
        <w:rPr>
          <w:rFonts w:cs="Calibri"/>
          <w:lang w:val="en-US"/>
        </w:rPr>
        <w:t>s</w:t>
      </w:r>
      <w:r w:rsidRPr="00EB2911">
        <w:rPr>
          <w:rFonts w:cs="Calibri"/>
          <w:lang w:val="en-US"/>
        </w:rPr>
        <w:t>exual assault</w:t>
      </w:r>
      <w:r w:rsidR="00FF4E08" w:rsidRPr="00EB2911">
        <w:rPr>
          <w:rFonts w:cs="Calibri"/>
          <w:lang w:val="en-US"/>
        </w:rPr>
        <w:t> »</w:t>
      </w:r>
      <w:r w:rsidRPr="00EB2911">
        <w:rPr>
          <w:rFonts w:cs="Calibri"/>
          <w:lang w:val="en-US"/>
        </w:rPr>
        <w:t xml:space="preserve">, </w:t>
      </w:r>
      <w:r w:rsidRPr="00EB2911">
        <w:rPr>
          <w:rFonts w:cs="Calibri"/>
          <w:i/>
          <w:lang w:val="en-US"/>
        </w:rPr>
        <w:t>The New York Times</w:t>
      </w:r>
      <w:r w:rsidRPr="00EB2911">
        <w:rPr>
          <w:rFonts w:cs="Calibri"/>
          <w:lang w:val="en-US"/>
        </w:rPr>
        <w:t>, 25 mars 2024.</w:t>
      </w:r>
    </w:p>
    <w:p w14:paraId="332DACAC" w14:textId="31EBAD7E" w:rsidR="00E567BB" w:rsidRPr="00EB2911" w:rsidRDefault="00000000" w:rsidP="005373A3">
      <w:pPr>
        <w:pStyle w:val="Paragraphedeliste"/>
        <w:numPr>
          <w:ilvl w:val="0"/>
          <w:numId w:val="19"/>
        </w:numPr>
        <w:rPr>
          <w:rFonts w:cs="Calibri"/>
          <w:lang w:val="en-US"/>
        </w:rPr>
      </w:pPr>
      <w:r w:rsidRPr="00EB2911">
        <w:rPr>
          <w:rFonts w:cs="Calibri"/>
        </w:rPr>
        <w:t xml:space="preserve">Le récit du viol de la </w:t>
      </w:r>
      <w:r w:rsidR="00FF4E08" w:rsidRPr="00EB2911">
        <w:rPr>
          <w:rFonts w:cs="Calibri"/>
        </w:rPr>
        <w:t>« </w:t>
      </w:r>
      <w:r w:rsidRPr="00EB2911">
        <w:rPr>
          <w:rFonts w:cs="Calibri"/>
        </w:rPr>
        <w:t>femme en robe noire</w:t>
      </w:r>
      <w:r w:rsidR="00FF4E08" w:rsidRPr="00EB2911">
        <w:rPr>
          <w:rFonts w:cs="Calibri"/>
        </w:rPr>
        <w:t> »</w:t>
      </w:r>
      <w:r w:rsidRPr="00EB2911">
        <w:rPr>
          <w:rFonts w:cs="Calibri"/>
        </w:rPr>
        <w:t xml:space="preserve"> avait fait la une du </w:t>
      </w:r>
      <w:r w:rsidRPr="00EB2911">
        <w:rPr>
          <w:rFonts w:cs="Calibri"/>
          <w:i/>
        </w:rPr>
        <w:t xml:space="preserve">New York Times </w:t>
      </w:r>
      <w:r w:rsidRPr="00EB2911">
        <w:rPr>
          <w:rFonts w:cs="Calibri"/>
        </w:rPr>
        <w:t xml:space="preserve">le 28 décembre 2023. </w:t>
      </w:r>
      <w:r w:rsidRPr="00EB2911">
        <w:rPr>
          <w:rFonts w:cs="Calibri"/>
          <w:lang w:val="en-US"/>
        </w:rPr>
        <w:t xml:space="preserve">La manipulation a </w:t>
      </w:r>
      <w:proofErr w:type="spellStart"/>
      <w:r w:rsidRPr="00EB2911">
        <w:rPr>
          <w:rFonts w:cs="Calibri"/>
          <w:lang w:val="en-US"/>
        </w:rPr>
        <w:t>été</w:t>
      </w:r>
      <w:proofErr w:type="spellEnd"/>
      <w:r w:rsidRPr="00EB2911">
        <w:rPr>
          <w:rFonts w:cs="Calibri"/>
          <w:lang w:val="en-US"/>
        </w:rPr>
        <w:t xml:space="preserve"> </w:t>
      </w:r>
      <w:proofErr w:type="spellStart"/>
      <w:r w:rsidRPr="00EB2911">
        <w:rPr>
          <w:rFonts w:cs="Calibri"/>
          <w:lang w:val="en-US"/>
        </w:rPr>
        <w:t>analysée</w:t>
      </w:r>
      <w:proofErr w:type="spellEnd"/>
      <w:r w:rsidRPr="00EB2911">
        <w:rPr>
          <w:rFonts w:cs="Calibri"/>
          <w:lang w:val="en-US"/>
        </w:rPr>
        <w:t xml:space="preserve"> par le </w:t>
      </w:r>
      <w:proofErr w:type="spellStart"/>
      <w:r w:rsidRPr="00EB2911">
        <w:rPr>
          <w:rFonts w:cs="Calibri"/>
          <w:lang w:val="en-US"/>
        </w:rPr>
        <w:t>collectif</w:t>
      </w:r>
      <w:proofErr w:type="spellEnd"/>
      <w:r w:rsidRPr="00EB2911">
        <w:rPr>
          <w:rFonts w:cs="Calibri"/>
          <w:lang w:val="en-US"/>
        </w:rPr>
        <w:t xml:space="preserve"> de </w:t>
      </w:r>
      <w:proofErr w:type="spellStart"/>
      <w:r w:rsidRPr="00EB2911">
        <w:rPr>
          <w:rFonts w:cs="Calibri"/>
          <w:lang w:val="en-US"/>
        </w:rPr>
        <w:t>journalistes</w:t>
      </w:r>
      <w:proofErr w:type="spellEnd"/>
      <w:r w:rsidRPr="00EB2911">
        <w:rPr>
          <w:rFonts w:cs="Calibri"/>
          <w:lang w:val="en-US"/>
        </w:rPr>
        <w:t xml:space="preserve"> </w:t>
      </w:r>
      <w:proofErr w:type="spellStart"/>
      <w:r w:rsidRPr="00EB2911">
        <w:rPr>
          <w:rFonts w:cs="Calibri"/>
          <w:lang w:val="en-US"/>
        </w:rPr>
        <w:t>palestiniens</w:t>
      </w:r>
      <w:proofErr w:type="spellEnd"/>
      <w:r w:rsidRPr="00EB2911">
        <w:rPr>
          <w:rFonts w:cs="Calibri"/>
          <w:lang w:val="en-US"/>
        </w:rPr>
        <w:t xml:space="preserve"> THE SHORT STRING, </w:t>
      </w:r>
      <w:r w:rsidR="00FF4E08" w:rsidRPr="00EB2911">
        <w:rPr>
          <w:rFonts w:cs="Calibri"/>
          <w:lang w:val="en-US"/>
        </w:rPr>
        <w:t>« </w:t>
      </w:r>
      <w:r w:rsidRPr="00EB2911">
        <w:rPr>
          <w:rFonts w:cs="Calibri"/>
          <w:lang w:val="en-US"/>
        </w:rPr>
        <w:t>Family of key case in New York Times October 7 sexual violence report renounces story, says reporters manipulated them</w:t>
      </w:r>
      <w:r w:rsidR="00FF4E08" w:rsidRPr="00EB2911">
        <w:rPr>
          <w:rFonts w:cs="Calibri"/>
          <w:lang w:val="en-US"/>
        </w:rPr>
        <w:t> »</w:t>
      </w:r>
      <w:r w:rsidRPr="00EB2911">
        <w:rPr>
          <w:rFonts w:cs="Calibri"/>
          <w:lang w:val="en-US"/>
        </w:rPr>
        <w:t xml:space="preserve">, </w:t>
      </w:r>
      <w:proofErr w:type="spellStart"/>
      <w:r w:rsidRPr="00EB2911">
        <w:rPr>
          <w:rFonts w:cs="Calibri"/>
          <w:i/>
          <w:lang w:val="en-US"/>
        </w:rPr>
        <w:t>Mondoweiss</w:t>
      </w:r>
      <w:proofErr w:type="spellEnd"/>
      <w:r w:rsidRPr="00EB2911">
        <w:rPr>
          <w:rFonts w:cs="Calibri"/>
          <w:lang w:val="en-US"/>
        </w:rPr>
        <w:t xml:space="preserve">, 3 </w:t>
      </w:r>
      <w:proofErr w:type="spellStart"/>
      <w:r w:rsidRPr="00EB2911">
        <w:rPr>
          <w:rFonts w:cs="Calibri"/>
          <w:lang w:val="en-US"/>
        </w:rPr>
        <w:t>janvier</w:t>
      </w:r>
      <w:proofErr w:type="spellEnd"/>
      <w:r w:rsidRPr="00EB2911">
        <w:rPr>
          <w:rFonts w:cs="Calibri"/>
          <w:lang w:val="en-US"/>
        </w:rPr>
        <w:t xml:space="preserve"> 2024.</w:t>
      </w:r>
    </w:p>
    <w:p w14:paraId="627A44B9" w14:textId="77777777" w:rsidR="005373A3" w:rsidRPr="00EB2911" w:rsidRDefault="005373A3" w:rsidP="005373A3">
      <w:pPr>
        <w:rPr>
          <w:rFonts w:cs="Calibri"/>
          <w:lang w:val="en-US"/>
        </w:rPr>
      </w:pPr>
    </w:p>
    <w:p w14:paraId="07AB5570" w14:textId="77777777" w:rsidR="005373A3" w:rsidRPr="00EB2911" w:rsidRDefault="005373A3" w:rsidP="005373A3">
      <w:pPr>
        <w:jc w:val="center"/>
        <w:rPr>
          <w:rFonts w:cs="Calibri"/>
          <w:lang w:val="fr-CA"/>
        </w:rPr>
      </w:pPr>
      <w:r w:rsidRPr="00EB2911">
        <w:rPr>
          <w:rFonts w:cs="Calibri"/>
          <w:lang w:val="fr-CA"/>
        </w:rPr>
        <w:t>- o - o - o -</w:t>
      </w:r>
    </w:p>
    <w:p w14:paraId="7004D065" w14:textId="77777777" w:rsidR="00E567BB" w:rsidRPr="00EB2911" w:rsidRDefault="00E567BB" w:rsidP="001D50D4">
      <w:pPr>
        <w:rPr>
          <w:rFonts w:cs="Calibri"/>
        </w:rPr>
      </w:pPr>
    </w:p>
    <w:p w14:paraId="4E4740ED" w14:textId="5931D20C" w:rsidR="00E567BB" w:rsidRPr="00EB2911" w:rsidRDefault="00000000" w:rsidP="005373A3">
      <w:pPr>
        <w:pStyle w:val="Titre1"/>
      </w:pPr>
      <w:bookmarkStart w:id="2" w:name="_Toc199350660"/>
      <w:r w:rsidRPr="00EB2911">
        <w:t xml:space="preserve">Le </w:t>
      </w:r>
      <w:r w:rsidR="00835FB7" w:rsidRPr="00EB2911">
        <w:t>négationnisme</w:t>
      </w:r>
      <w:bookmarkEnd w:id="2"/>
    </w:p>
    <w:p w14:paraId="1E92AB80" w14:textId="054EC6F5" w:rsidR="00E567BB" w:rsidRPr="00EB2911" w:rsidRDefault="00000000" w:rsidP="001D50D4">
      <w:pPr>
        <w:rPr>
          <w:rFonts w:cs="Calibri"/>
        </w:rPr>
      </w:pPr>
      <w:r w:rsidRPr="00EB2911">
        <w:rPr>
          <w:rFonts w:cs="Calibri"/>
        </w:rPr>
        <w:t xml:space="preserve">Invoquer l’histoire, rappeler la dépossession continue des terres en Cisjordanie, les évictions permanentes des logements de Jérusalem-Est, le blocus de la bande de Gaza, les raids dans le camps de </w:t>
      </w:r>
      <w:proofErr w:type="spellStart"/>
      <w:r w:rsidRPr="00EB2911">
        <w:rPr>
          <w:rFonts w:cs="Calibri"/>
        </w:rPr>
        <w:t>Jénine</w:t>
      </w:r>
      <w:proofErr w:type="spellEnd"/>
      <w:r w:rsidRPr="00EB2911">
        <w:rPr>
          <w:rFonts w:cs="Calibri"/>
        </w:rPr>
        <w:t>, les limitations des mobilités, les restrictions des libertés, les violations des droits, les arrestations arbitraires et les détentions sans charges ni procès, les morts et les mutilations d’enfants et d’adolescents, les humiliations et les agressions quotidiennes que font subir les colons et les soldats, c’est donner à comprendre comment une situation devenue invivable peut conduire à une révolte, alors que les protestations pacifiques restaient sans effet pour empêcher l’extension illégale des colonies et des zones militaires, et qu’au contraire la répression israélienne se faisait de plus en plus meurtrière au cours des dernières années, avec un nombre record de Palestiniens tués par l’armée en 2022, souvent en dehors de tout contexte d’affrontement (1).</w:t>
      </w:r>
      <w:r w:rsidR="005373A3" w:rsidRPr="00EB2911">
        <w:rPr>
          <w:rStyle w:val="Appelnotedebasdep"/>
          <w:rFonts w:cs="Calibri"/>
        </w:rPr>
        <w:footnoteReference w:id="3"/>
      </w:r>
    </w:p>
    <w:p w14:paraId="7BCA1A73" w14:textId="6D2BB3FC" w:rsidR="00E567BB" w:rsidRPr="00EB2911" w:rsidRDefault="00000000" w:rsidP="00AD5F3C">
      <w:pPr>
        <w:pStyle w:val="Paragraphedeliste"/>
        <w:numPr>
          <w:ilvl w:val="0"/>
          <w:numId w:val="21"/>
        </w:numPr>
        <w:rPr>
          <w:rFonts w:cs="Calibri"/>
          <w:lang w:val="en-US"/>
        </w:rPr>
      </w:pPr>
      <w:r w:rsidRPr="00EB2911">
        <w:rPr>
          <w:rFonts w:cs="Calibri"/>
          <w:lang w:val="en-US"/>
        </w:rPr>
        <w:t xml:space="preserve">Hagar </w:t>
      </w:r>
      <w:proofErr w:type="spellStart"/>
      <w:r w:rsidRPr="00EB2911">
        <w:rPr>
          <w:rFonts w:cs="Calibri"/>
          <w:lang w:val="en-US"/>
        </w:rPr>
        <w:t>Shezaf</w:t>
      </w:r>
      <w:proofErr w:type="spellEnd"/>
      <w:r w:rsidRPr="00EB2911">
        <w:rPr>
          <w:rFonts w:cs="Calibri"/>
          <w:lang w:val="en-US"/>
        </w:rPr>
        <w:t xml:space="preserve">, </w:t>
      </w:r>
      <w:r w:rsidR="00FF4E08" w:rsidRPr="00EB2911">
        <w:rPr>
          <w:rFonts w:cs="Calibri"/>
          <w:lang w:val="en-US"/>
        </w:rPr>
        <w:t>« </w:t>
      </w:r>
      <w:r w:rsidRPr="00EB2911">
        <w:rPr>
          <w:rFonts w:cs="Calibri"/>
          <w:lang w:val="en-US"/>
        </w:rPr>
        <w:t xml:space="preserve">2022 saw highest number of </w:t>
      </w:r>
      <w:proofErr w:type="spellStart"/>
      <w:r w:rsidRPr="00EB2911">
        <w:rPr>
          <w:rFonts w:cs="Calibri"/>
          <w:lang w:val="en-US"/>
        </w:rPr>
        <w:t>Palestians</w:t>
      </w:r>
      <w:proofErr w:type="spellEnd"/>
      <w:r w:rsidRPr="00EB2911">
        <w:rPr>
          <w:rFonts w:cs="Calibri"/>
          <w:lang w:val="en-US"/>
        </w:rPr>
        <w:t xml:space="preserve"> killed in West Bank by Israeli forces since Second Intifada</w:t>
      </w:r>
      <w:r w:rsidR="00FF4E08" w:rsidRPr="00EB2911">
        <w:rPr>
          <w:rFonts w:cs="Calibri"/>
          <w:lang w:val="en-US"/>
        </w:rPr>
        <w:t> »</w:t>
      </w:r>
      <w:r w:rsidRPr="00EB2911">
        <w:rPr>
          <w:rFonts w:cs="Calibri"/>
          <w:lang w:val="en-US"/>
        </w:rPr>
        <w:t xml:space="preserve">, Haaretz, 4 </w:t>
      </w:r>
      <w:proofErr w:type="spellStart"/>
      <w:r w:rsidRPr="00EB2911">
        <w:rPr>
          <w:rFonts w:cs="Calibri"/>
          <w:lang w:val="en-US"/>
        </w:rPr>
        <w:t>janvier</w:t>
      </w:r>
      <w:proofErr w:type="spellEnd"/>
      <w:r w:rsidRPr="00EB2911">
        <w:rPr>
          <w:rFonts w:cs="Calibri"/>
          <w:lang w:val="en-US"/>
        </w:rPr>
        <w:t xml:space="preserve"> 2023.</w:t>
      </w:r>
    </w:p>
    <w:p w14:paraId="46BEAD39" w14:textId="77777777" w:rsidR="005373A3" w:rsidRPr="00EB2911" w:rsidRDefault="005373A3" w:rsidP="005373A3">
      <w:pPr>
        <w:rPr>
          <w:rFonts w:cs="Calibri"/>
          <w:lang w:val="en-US"/>
        </w:rPr>
      </w:pPr>
    </w:p>
    <w:p w14:paraId="1C08378E" w14:textId="77777777" w:rsidR="005373A3" w:rsidRPr="00EB2911" w:rsidRDefault="005373A3" w:rsidP="005373A3">
      <w:pPr>
        <w:jc w:val="center"/>
        <w:rPr>
          <w:rFonts w:cs="Calibri"/>
          <w:lang w:val="fr-CA"/>
        </w:rPr>
      </w:pPr>
      <w:r w:rsidRPr="00EB2911">
        <w:rPr>
          <w:rFonts w:cs="Calibri"/>
          <w:lang w:val="fr-CA"/>
        </w:rPr>
        <w:t>- o - o - o -</w:t>
      </w:r>
    </w:p>
    <w:p w14:paraId="226BF11F" w14:textId="77777777" w:rsidR="00E567BB" w:rsidRPr="00EB2911" w:rsidRDefault="00E567BB" w:rsidP="001D50D4">
      <w:pPr>
        <w:rPr>
          <w:rFonts w:cs="Calibri"/>
        </w:rPr>
      </w:pPr>
    </w:p>
    <w:p w14:paraId="220E03C9" w14:textId="2F0F4271" w:rsidR="00E567BB" w:rsidRPr="00EB2911" w:rsidRDefault="00000000" w:rsidP="00A33C30">
      <w:pPr>
        <w:pStyle w:val="Titre1"/>
      </w:pPr>
      <w:bookmarkStart w:id="3" w:name="_Toc199350661"/>
      <w:r w:rsidRPr="00EB2911">
        <w:t>Nelson Mandela était considéré comme terroriste par les États-Unis</w:t>
      </w:r>
      <w:bookmarkEnd w:id="3"/>
    </w:p>
    <w:p w14:paraId="24953E76" w14:textId="186DC975" w:rsidR="00E567BB" w:rsidRPr="00EB2911" w:rsidRDefault="00000000" w:rsidP="001D50D4">
      <w:pPr>
        <w:rPr>
          <w:rFonts w:cs="Calibri"/>
        </w:rPr>
      </w:pPr>
      <w:r w:rsidRPr="00EB2911">
        <w:rPr>
          <w:rFonts w:cs="Calibri"/>
        </w:rPr>
        <w:t xml:space="preserve">En Afrique du Sud, l’ANC, </w:t>
      </w:r>
      <w:proofErr w:type="spellStart"/>
      <w:r w:rsidRPr="00EB2911">
        <w:rPr>
          <w:rFonts w:cs="Calibri"/>
        </w:rPr>
        <w:t>African</w:t>
      </w:r>
      <w:proofErr w:type="spellEnd"/>
      <w:r w:rsidRPr="00EB2911">
        <w:rPr>
          <w:rFonts w:cs="Calibri"/>
        </w:rPr>
        <w:t xml:space="preserve"> National </w:t>
      </w:r>
      <w:proofErr w:type="spellStart"/>
      <w:r w:rsidRPr="00EB2911">
        <w:rPr>
          <w:rFonts w:cs="Calibri"/>
        </w:rPr>
        <w:t>Congress</w:t>
      </w:r>
      <w:proofErr w:type="spellEnd"/>
      <w:r w:rsidRPr="00EB2911">
        <w:rPr>
          <w:rFonts w:cs="Calibri"/>
        </w:rPr>
        <w:t xml:space="preserve">, dont la branche paramilitaire, </w:t>
      </w:r>
      <w:proofErr w:type="spellStart"/>
      <w:r w:rsidRPr="00EB2911">
        <w:rPr>
          <w:rFonts w:cs="Calibri"/>
        </w:rPr>
        <w:t>uMkhonto</w:t>
      </w:r>
      <w:proofErr w:type="spellEnd"/>
      <w:r w:rsidRPr="00EB2911">
        <w:rPr>
          <w:rFonts w:cs="Calibri"/>
        </w:rPr>
        <w:t xml:space="preserve"> </w:t>
      </w:r>
      <w:proofErr w:type="spellStart"/>
      <w:r w:rsidRPr="00EB2911">
        <w:rPr>
          <w:rFonts w:cs="Calibri"/>
        </w:rPr>
        <w:t>we</w:t>
      </w:r>
      <w:proofErr w:type="spellEnd"/>
      <w:r w:rsidRPr="00EB2911">
        <w:rPr>
          <w:rFonts w:cs="Calibri"/>
        </w:rPr>
        <w:t xml:space="preserve"> </w:t>
      </w:r>
      <w:proofErr w:type="spellStart"/>
      <w:r w:rsidRPr="00EB2911">
        <w:rPr>
          <w:rFonts w:cs="Calibri"/>
        </w:rPr>
        <w:t>Sizwe</w:t>
      </w:r>
      <w:proofErr w:type="spellEnd"/>
      <w:r w:rsidRPr="00EB2911">
        <w:rPr>
          <w:rFonts w:cs="Calibri"/>
        </w:rPr>
        <w:t>, a commis une série d’attentats qui a causé la mort de membres des forces de sécurité mais aussi de civils, a longtemps été considéré par la Grande-Bretagne et les États-Unis comme une organisation terroriste, alors que, dans la plupart des pays du monde, il était vu comme</w:t>
      </w:r>
      <w:r w:rsidR="001D50D4" w:rsidRPr="00EB2911">
        <w:rPr>
          <w:rFonts w:cs="Calibri"/>
        </w:rPr>
        <w:t xml:space="preserve"> </w:t>
      </w:r>
      <w:r w:rsidRPr="00EB2911">
        <w:rPr>
          <w:rFonts w:cs="Calibri"/>
        </w:rPr>
        <w:t xml:space="preserve">luttant contre l’oppression du régime suprémaciste blanc. Le fondateur de l’ANC et dirigeant de sa branche armée, Nelson Mandela, artisan de la transition pacifique vers la démocratie et premier président du pays après la fin de l’apartheid, a figuré sur la liste des personnes terroristes établies </w:t>
      </w:r>
      <w:r w:rsidRPr="00EB2911">
        <w:rPr>
          <w:rFonts w:cs="Calibri"/>
        </w:rPr>
        <w:lastRenderedPageBreak/>
        <w:t>par les États-Unis jusqu’en 2008, soit dix-huit ans après sa sortie de prison et quinze ans après s’être vu décerner avec Frederick de Klerk le prix Nobel de la paix.</w:t>
      </w:r>
      <w:r w:rsidR="00A33C30" w:rsidRPr="00EB2911">
        <w:rPr>
          <w:rStyle w:val="Appelnotedebasdep"/>
          <w:rFonts w:cs="Calibri"/>
        </w:rPr>
        <w:footnoteReference w:id="4"/>
      </w:r>
    </w:p>
    <w:p w14:paraId="029C769E" w14:textId="77777777" w:rsidR="00A33C30" w:rsidRPr="00EB2911" w:rsidRDefault="00A33C30" w:rsidP="00A33C30">
      <w:pPr>
        <w:rPr>
          <w:rFonts w:cs="Calibri"/>
        </w:rPr>
      </w:pPr>
    </w:p>
    <w:p w14:paraId="477F43D2" w14:textId="77777777" w:rsidR="00A33C30" w:rsidRPr="00EB2911" w:rsidRDefault="00A33C30" w:rsidP="00A33C30">
      <w:pPr>
        <w:jc w:val="center"/>
        <w:rPr>
          <w:rFonts w:cs="Calibri"/>
          <w:lang w:val="es-ES"/>
        </w:rPr>
      </w:pPr>
      <w:r w:rsidRPr="00EB2911">
        <w:rPr>
          <w:rFonts w:cs="Calibri"/>
          <w:lang w:val="es-ES"/>
        </w:rPr>
        <w:t>- o - o - o -</w:t>
      </w:r>
    </w:p>
    <w:p w14:paraId="7DD8AD37" w14:textId="77777777" w:rsidR="00E567BB" w:rsidRPr="00EB2911" w:rsidRDefault="00E567BB" w:rsidP="001D50D4">
      <w:pPr>
        <w:rPr>
          <w:rFonts w:cs="Calibri"/>
          <w:lang w:val="es-ES"/>
        </w:rPr>
      </w:pPr>
    </w:p>
    <w:p w14:paraId="700F57E4" w14:textId="3FD8D2B6" w:rsidR="00E567BB" w:rsidRPr="00CC7372" w:rsidRDefault="00000000" w:rsidP="003C6E4C">
      <w:pPr>
        <w:pStyle w:val="Titre1"/>
        <w:rPr>
          <w:lang w:val="es-ES"/>
        </w:rPr>
      </w:pPr>
      <w:bookmarkStart w:id="4" w:name="_Toc199350662"/>
      <w:r w:rsidRPr="00CC7372">
        <w:rPr>
          <w:lang w:val="es-ES"/>
        </w:rPr>
        <w:t xml:space="preserve">Le </w:t>
      </w:r>
      <w:proofErr w:type="spellStart"/>
      <w:r w:rsidRPr="00CC7372">
        <w:rPr>
          <w:lang w:val="es-ES"/>
        </w:rPr>
        <w:t>silence</w:t>
      </w:r>
      <w:proofErr w:type="spellEnd"/>
      <w:r w:rsidRPr="00CC7372">
        <w:rPr>
          <w:lang w:val="es-ES"/>
        </w:rPr>
        <w:t xml:space="preserve"> </w:t>
      </w:r>
      <w:proofErr w:type="spellStart"/>
      <w:r w:rsidRPr="00CC7372">
        <w:rPr>
          <w:lang w:val="es-ES"/>
        </w:rPr>
        <w:t>complice</w:t>
      </w:r>
      <w:proofErr w:type="spellEnd"/>
      <w:r w:rsidRPr="00CC7372">
        <w:rPr>
          <w:lang w:val="es-ES"/>
        </w:rPr>
        <w:t xml:space="preserve"> occidental</w:t>
      </w:r>
      <w:bookmarkEnd w:id="4"/>
    </w:p>
    <w:p w14:paraId="17ABBED7" w14:textId="75BB12A4" w:rsidR="00E567BB" w:rsidRPr="00EB2911" w:rsidRDefault="00000000" w:rsidP="001D50D4">
      <w:pPr>
        <w:rPr>
          <w:rFonts w:cs="Calibri"/>
        </w:rPr>
      </w:pPr>
      <w:r w:rsidRPr="00EB2911">
        <w:rPr>
          <w:rFonts w:cs="Calibri"/>
        </w:rPr>
        <w:t xml:space="preserve">Il est à cet égard une réalité cruelle mais indéniable : l’attaque du 7 octobre a brutalement remis en question la question palestinienne sur la scène internationale, de laquelle </w:t>
      </w:r>
      <w:proofErr w:type="spellStart"/>
      <w:r w:rsidRPr="00EB2911">
        <w:rPr>
          <w:rFonts w:cs="Calibri"/>
        </w:rPr>
        <w:t>ele</w:t>
      </w:r>
      <w:proofErr w:type="spellEnd"/>
      <w:r w:rsidRPr="00EB2911">
        <w:rPr>
          <w:rFonts w:cs="Calibri"/>
        </w:rPr>
        <w:t xml:space="preserve"> s’était trouvée exclue par Israël, les États-Unis, la plupart des membres de l’Union européenne et un nombre croissant de pays arabes et africains. Le monde s’accommodait de l’incarcération et de la mort de milliers de Palestiniens, de l’extension illégale des colonies juives en Cisjordanie, du blocus étouffant de la bande de Gaza, de la normalisation des relations d’Israël avec les Émirats arabes unis, Bahreïn, le Soudan et le Maroc par les accords d’Abraham que devait compléter un traité avec l’Arabie saoudite, et du déplacement de l’ambassade des États-Unis à Jérusalem sur des terrains appartenant à des familles palestiniennes, décision qui contrevenait au principe de ne pas créer de missions diplomatiques dans la Ville sainte des trois monothéismes. </w:t>
      </w:r>
      <w:r w:rsidR="00FF4E08" w:rsidRPr="00EB2911">
        <w:rPr>
          <w:rFonts w:cs="Calibri"/>
        </w:rPr>
        <w:t>« </w:t>
      </w:r>
      <w:r w:rsidRPr="00EB2911">
        <w:rPr>
          <w:rFonts w:cs="Calibri"/>
        </w:rPr>
        <w:t>Certains ont cru, parmi ceux qui sont au pouvoir en Israël, qu’on pouvait complétement ignorer la question palestinienne et normaliser comme si de rien n’était les relations avec les pays arabes</w:t>
      </w:r>
      <w:r w:rsidR="00FF4E08" w:rsidRPr="00EB2911">
        <w:rPr>
          <w:rFonts w:cs="Calibri"/>
        </w:rPr>
        <w:t> »</w:t>
      </w:r>
      <w:r w:rsidRPr="00EB2911">
        <w:rPr>
          <w:rFonts w:cs="Calibri"/>
        </w:rPr>
        <w:t xml:space="preserve">, constate l’écrivain et journaliste israélien Michel </w:t>
      </w:r>
      <w:proofErr w:type="spellStart"/>
      <w:r w:rsidRPr="00EB2911">
        <w:rPr>
          <w:rFonts w:cs="Calibri"/>
        </w:rPr>
        <w:t>Warschawski</w:t>
      </w:r>
      <w:proofErr w:type="spellEnd"/>
      <w:r w:rsidRPr="00EB2911">
        <w:rPr>
          <w:rFonts w:cs="Calibri"/>
        </w:rPr>
        <w:t xml:space="preserve">, qui ajoute : </w:t>
      </w:r>
      <w:r w:rsidR="00FF4E08" w:rsidRPr="00EB2911">
        <w:rPr>
          <w:rFonts w:cs="Calibri"/>
        </w:rPr>
        <w:t>« </w:t>
      </w:r>
      <w:r w:rsidRPr="00EB2911">
        <w:rPr>
          <w:rFonts w:cs="Calibri"/>
        </w:rPr>
        <w:t>Ils se sont gravement trompés (1)</w:t>
      </w:r>
      <w:r w:rsidR="00FF4E08" w:rsidRPr="00EB2911">
        <w:rPr>
          <w:rFonts w:cs="Calibri"/>
        </w:rPr>
        <w:t> »</w:t>
      </w:r>
      <w:r w:rsidRPr="00EB2911">
        <w:rPr>
          <w:rFonts w:cs="Calibri"/>
        </w:rPr>
        <w:t xml:space="preserve">. Le monde occidental partageait cette vision. Qui parlait encore sérieusement d’un État palestinien avant le 7 octobre? Malgré la reconnaissance de ce dernier par 138 des 193 pays membres des Nations unies, le monde occidental – à l’exception de l’Islande et de la Suède – avait jusqu’alors réussi à empêcher l’application du droit international, selon lequel devait exister un </w:t>
      </w:r>
      <w:r w:rsidR="00FF4E08" w:rsidRPr="00EB2911">
        <w:rPr>
          <w:rFonts w:cs="Calibri"/>
        </w:rPr>
        <w:t>« </w:t>
      </w:r>
      <w:r w:rsidRPr="00EB2911">
        <w:rPr>
          <w:rFonts w:cs="Calibri"/>
        </w:rPr>
        <w:t>État palestinien indépendant, souverain, démocratique, d’un seul tenant et viable vivant dans la paix et la sécurité côte à côte avec Israël, sur la base des frontières d’avant 1967 (2)</w:t>
      </w:r>
      <w:r w:rsidR="00FF4E08" w:rsidRPr="00EB2911">
        <w:rPr>
          <w:rFonts w:cs="Calibri"/>
        </w:rPr>
        <w:t> »</w:t>
      </w:r>
      <w:r w:rsidRPr="00EB2911">
        <w:rPr>
          <w:rFonts w:cs="Calibri"/>
        </w:rPr>
        <w:t>.</w:t>
      </w:r>
    </w:p>
    <w:p w14:paraId="75E2B05F" w14:textId="77777777" w:rsidR="009F4C92" w:rsidRPr="00EB2911" w:rsidRDefault="009F4C92" w:rsidP="001D50D4">
      <w:pPr>
        <w:rPr>
          <w:rFonts w:cs="Calibri"/>
        </w:rPr>
      </w:pPr>
    </w:p>
    <w:p w14:paraId="002E0934" w14:textId="168FD525" w:rsidR="009F4C92" w:rsidRPr="00EB2911" w:rsidRDefault="009F4C92" w:rsidP="009F4C92">
      <w:pPr>
        <w:rPr>
          <w:rFonts w:cs="Calibri"/>
          <w:lang w:val="fr-CA"/>
        </w:rPr>
      </w:pPr>
      <w:r w:rsidRPr="00EB2911">
        <w:rPr>
          <w:rFonts w:cs="Calibri"/>
          <w:lang w:val="fr-CA"/>
        </w:rPr>
        <w:t>Le 22 septembre, deux semaines avant l’attaque du Hamas, dans son discours devant</w:t>
      </w:r>
      <w:r w:rsidR="00DB26CE" w:rsidRPr="00EB2911">
        <w:rPr>
          <w:rFonts w:cs="Calibri"/>
          <w:lang w:val="fr-CA"/>
        </w:rPr>
        <w:t xml:space="preserve"> </w:t>
      </w:r>
      <w:r w:rsidRPr="00EB2911">
        <w:rPr>
          <w:rFonts w:cs="Calibri"/>
          <w:lang w:val="fr-CA"/>
        </w:rPr>
        <w:t>l’Assemblée générale des Nations unies, le Premier ministre israélien avait montré une carte</w:t>
      </w:r>
      <w:r w:rsidR="00DB26CE" w:rsidRPr="00EB2911">
        <w:rPr>
          <w:rFonts w:cs="Calibri"/>
          <w:lang w:val="fr-CA"/>
        </w:rPr>
        <w:t xml:space="preserve"> </w:t>
      </w:r>
      <w:r w:rsidRPr="00EB2911">
        <w:rPr>
          <w:rFonts w:cs="Calibri"/>
          <w:lang w:val="fr-CA"/>
        </w:rPr>
        <w:t xml:space="preserve">intitulée </w:t>
      </w:r>
      <w:r w:rsidR="00FF4E08" w:rsidRPr="00EB2911">
        <w:rPr>
          <w:rFonts w:cs="Calibri"/>
          <w:lang w:val="fr-CA"/>
        </w:rPr>
        <w:t>« </w:t>
      </w:r>
      <w:r w:rsidRPr="00EB2911">
        <w:rPr>
          <w:rFonts w:cs="Calibri"/>
          <w:lang w:val="fr-CA"/>
        </w:rPr>
        <w:t>The New Middle East</w:t>
      </w:r>
      <w:r w:rsidR="00FF4E08" w:rsidRPr="00EB2911">
        <w:rPr>
          <w:rFonts w:cs="Calibri"/>
          <w:lang w:val="fr-CA"/>
        </w:rPr>
        <w:t> »</w:t>
      </w:r>
      <w:r w:rsidRPr="00EB2911">
        <w:rPr>
          <w:rFonts w:cs="Calibri"/>
          <w:lang w:val="fr-CA"/>
        </w:rPr>
        <w:t xml:space="preserve"> sur laquelle le Grand Israël avait absorbé la Cisjordanie et la</w:t>
      </w:r>
      <w:r w:rsidR="00DB26CE" w:rsidRPr="00EB2911">
        <w:rPr>
          <w:rFonts w:cs="Calibri"/>
          <w:lang w:val="fr-CA"/>
        </w:rPr>
        <w:t xml:space="preserve"> </w:t>
      </w:r>
      <w:r w:rsidRPr="00EB2911">
        <w:rPr>
          <w:rFonts w:cs="Calibri"/>
          <w:lang w:val="fr-CA"/>
        </w:rPr>
        <w:t>bande de Gaza. Cette déclaration survenait après une autre, quelques mois plus tôt, lors de sa</w:t>
      </w:r>
      <w:r w:rsidR="00DB26CE" w:rsidRPr="00EB2911">
        <w:rPr>
          <w:rFonts w:cs="Calibri"/>
          <w:lang w:val="fr-CA"/>
        </w:rPr>
        <w:t xml:space="preserve"> </w:t>
      </w:r>
      <w:r w:rsidRPr="00EB2911">
        <w:rPr>
          <w:rFonts w:cs="Calibri"/>
          <w:lang w:val="fr-CA"/>
        </w:rPr>
        <w:t>prise de fonction comme nouveau chef du gouvernement, au cours de laquelle il avait proclamé</w:t>
      </w:r>
      <w:r w:rsidR="00DB26CE" w:rsidRPr="00EB2911">
        <w:rPr>
          <w:rFonts w:cs="Calibri"/>
          <w:lang w:val="fr-CA"/>
        </w:rPr>
        <w:t xml:space="preserve"> </w:t>
      </w:r>
      <w:r w:rsidRPr="00EB2911">
        <w:rPr>
          <w:rFonts w:cs="Calibri"/>
          <w:lang w:val="fr-CA"/>
        </w:rPr>
        <w:t xml:space="preserve">que </w:t>
      </w:r>
      <w:r w:rsidR="00FF4E08" w:rsidRPr="00EB2911">
        <w:rPr>
          <w:rFonts w:cs="Calibri"/>
          <w:lang w:val="fr-CA"/>
        </w:rPr>
        <w:t>« </w:t>
      </w:r>
      <w:r w:rsidRPr="00EB2911">
        <w:rPr>
          <w:rFonts w:cs="Calibri"/>
          <w:lang w:val="fr-CA"/>
        </w:rPr>
        <w:t>le peuple juif a un droit exclusif et incontestable sur la terre d’Israël – la Galilée, le</w:t>
      </w:r>
      <w:r w:rsidR="00DB26CE" w:rsidRPr="00EB2911">
        <w:rPr>
          <w:rFonts w:cs="Calibri"/>
          <w:lang w:val="fr-CA"/>
        </w:rPr>
        <w:t xml:space="preserve"> </w:t>
      </w:r>
      <w:r w:rsidRPr="00EB2911">
        <w:rPr>
          <w:rFonts w:cs="Calibri"/>
          <w:lang w:val="fr-CA"/>
        </w:rPr>
        <w:t>Néguev, le Golan, la Judée et la Samarie (3)</w:t>
      </w:r>
      <w:r w:rsidR="00FF4E08" w:rsidRPr="00EB2911">
        <w:rPr>
          <w:rFonts w:cs="Calibri"/>
          <w:lang w:val="fr-CA"/>
        </w:rPr>
        <w:t> »</w:t>
      </w:r>
      <w:r w:rsidRPr="00EB2911">
        <w:rPr>
          <w:rFonts w:cs="Calibri"/>
          <w:lang w:val="fr-CA"/>
        </w:rPr>
        <w:t>. De son côté, le 19 mai, à l’occasion d’une</w:t>
      </w:r>
      <w:r w:rsidR="00DB26CE" w:rsidRPr="00EB2911">
        <w:rPr>
          <w:rFonts w:cs="Calibri"/>
          <w:lang w:val="fr-CA"/>
        </w:rPr>
        <w:t xml:space="preserve"> </w:t>
      </w:r>
      <w:r w:rsidRPr="00EB2911">
        <w:rPr>
          <w:rFonts w:cs="Calibri"/>
          <w:lang w:val="fr-CA"/>
        </w:rPr>
        <w:t>conférence à Paris donnée devant un drapeau représentant lui aussi Israël après l’absorption de</w:t>
      </w:r>
      <w:r w:rsidR="00DB26CE" w:rsidRPr="00EB2911">
        <w:rPr>
          <w:rFonts w:cs="Calibri"/>
          <w:lang w:val="fr-CA"/>
        </w:rPr>
        <w:t xml:space="preserve"> </w:t>
      </w:r>
      <w:r w:rsidRPr="00EB2911">
        <w:rPr>
          <w:rFonts w:cs="Calibri"/>
          <w:lang w:val="fr-CA"/>
        </w:rPr>
        <w:t>l’ensemble des Territoires palestiniens occupés, le ministre des Finances, également chargé de</w:t>
      </w:r>
      <w:r w:rsidR="00DB26CE" w:rsidRPr="00EB2911">
        <w:rPr>
          <w:rFonts w:cs="Calibri"/>
          <w:lang w:val="fr-CA"/>
        </w:rPr>
        <w:t xml:space="preserve"> </w:t>
      </w:r>
      <w:r w:rsidRPr="00EB2911">
        <w:rPr>
          <w:rFonts w:cs="Calibri"/>
          <w:lang w:val="fr-CA"/>
        </w:rPr>
        <w:t>la colonisation, affirmait qu’il n’y avait ni histoire palestinienne ni culture palestinienne, et qu’il</w:t>
      </w:r>
      <w:r w:rsidR="00DB26CE" w:rsidRPr="00EB2911">
        <w:rPr>
          <w:rFonts w:cs="Calibri"/>
          <w:lang w:val="fr-CA"/>
        </w:rPr>
        <w:t xml:space="preserve"> </w:t>
      </w:r>
      <w:r w:rsidRPr="00EB2911">
        <w:rPr>
          <w:rFonts w:cs="Calibri"/>
          <w:lang w:val="fr-CA"/>
        </w:rPr>
        <w:t xml:space="preserve">n’y avait </w:t>
      </w:r>
      <w:r w:rsidR="00FF4E08" w:rsidRPr="00EB2911">
        <w:rPr>
          <w:rFonts w:cs="Calibri"/>
          <w:lang w:val="fr-CA"/>
        </w:rPr>
        <w:t>« </w:t>
      </w:r>
      <w:r w:rsidRPr="00EB2911">
        <w:rPr>
          <w:rFonts w:cs="Calibri"/>
          <w:lang w:val="fr-CA"/>
        </w:rPr>
        <w:t>pas même de peuple palestinien (4)</w:t>
      </w:r>
      <w:r w:rsidR="00FF4E08" w:rsidRPr="00EB2911">
        <w:rPr>
          <w:rFonts w:cs="Calibri"/>
          <w:lang w:val="fr-CA"/>
        </w:rPr>
        <w:t> »</w:t>
      </w:r>
      <w:r w:rsidRPr="00EB2911">
        <w:rPr>
          <w:rFonts w:cs="Calibri"/>
          <w:lang w:val="fr-CA"/>
        </w:rPr>
        <w:t>. Les évènements récents ont tragiquement</w:t>
      </w:r>
      <w:r w:rsidR="00DB26CE" w:rsidRPr="00EB2911">
        <w:rPr>
          <w:rFonts w:cs="Calibri"/>
          <w:lang w:val="fr-CA"/>
        </w:rPr>
        <w:t xml:space="preserve"> </w:t>
      </w:r>
      <w:r w:rsidRPr="00EB2911">
        <w:rPr>
          <w:rFonts w:cs="Calibri"/>
          <w:lang w:val="fr-CA"/>
        </w:rPr>
        <w:t>replacé ces territoires sur la carte du monde et ce peuple dans l’imaginaire des nations.</w:t>
      </w:r>
      <w:r w:rsidR="00DB26CE" w:rsidRPr="00EB2911">
        <w:rPr>
          <w:rFonts w:cs="Calibri"/>
          <w:lang w:val="fr-CA"/>
        </w:rPr>
        <w:t xml:space="preserve"> </w:t>
      </w:r>
      <w:r w:rsidRPr="00EB2911">
        <w:rPr>
          <w:rFonts w:cs="Calibri"/>
          <w:lang w:val="fr-CA"/>
        </w:rPr>
        <w:t>Contestée par les uns et simplement abandonnée par les autres jusqu’à il y a peu, la</w:t>
      </w:r>
      <w:r w:rsidR="00DB26CE" w:rsidRPr="00EB2911">
        <w:rPr>
          <w:rFonts w:cs="Calibri"/>
          <w:lang w:val="fr-CA"/>
        </w:rPr>
        <w:t xml:space="preserve"> </w:t>
      </w:r>
      <w:r w:rsidRPr="00EB2911">
        <w:rPr>
          <w:rFonts w:cs="Calibri"/>
          <w:lang w:val="fr-CA"/>
        </w:rPr>
        <w:t>possibilité d’un État palestinien est désormais sur pratiquement tous les agendas politiques,</w:t>
      </w:r>
      <w:r w:rsidR="00DB26CE" w:rsidRPr="00EB2911">
        <w:rPr>
          <w:rFonts w:cs="Calibri"/>
          <w:lang w:val="fr-CA"/>
        </w:rPr>
        <w:t xml:space="preserve"> </w:t>
      </w:r>
      <w:r w:rsidRPr="00EB2911">
        <w:rPr>
          <w:rFonts w:cs="Calibri"/>
          <w:lang w:val="fr-CA"/>
        </w:rPr>
        <w:t>même ceux alliés les plus indéfectibles d’Israël, non sans double langage cependant (5)</w:t>
      </w:r>
      <w:r w:rsidR="00FF4E08" w:rsidRPr="00EB2911">
        <w:rPr>
          <w:rFonts w:cs="Calibri"/>
          <w:lang w:val="fr-CA"/>
        </w:rPr>
        <w:t> »</w:t>
      </w:r>
      <w:r w:rsidRPr="00EB2911">
        <w:rPr>
          <w:rFonts w:cs="Calibri"/>
          <w:lang w:val="fr-CA"/>
        </w:rPr>
        <w:t>.</w:t>
      </w:r>
      <w:r w:rsidR="006E4B57" w:rsidRPr="00EB2911">
        <w:rPr>
          <w:rStyle w:val="Appelnotedebasdep"/>
          <w:rFonts w:cs="Calibri"/>
          <w:lang w:val="fr-CA"/>
        </w:rPr>
        <w:footnoteReference w:id="5"/>
      </w:r>
    </w:p>
    <w:p w14:paraId="64D526E7" w14:textId="77777777" w:rsidR="00E567BB" w:rsidRPr="00EB2911" w:rsidRDefault="00E567BB" w:rsidP="001D50D4">
      <w:pPr>
        <w:rPr>
          <w:rFonts w:cs="Calibri"/>
          <w:lang w:val="fr-CA"/>
        </w:rPr>
      </w:pPr>
    </w:p>
    <w:p w14:paraId="60424F6C" w14:textId="027F71A9" w:rsidR="00E567BB" w:rsidRPr="00EB2911" w:rsidRDefault="00000000" w:rsidP="00A63A1E">
      <w:pPr>
        <w:pStyle w:val="Paragraphedeliste"/>
        <w:numPr>
          <w:ilvl w:val="0"/>
          <w:numId w:val="24"/>
        </w:numPr>
        <w:rPr>
          <w:rFonts w:cs="Calibri"/>
        </w:rPr>
      </w:pPr>
      <w:r w:rsidRPr="00EB2911">
        <w:rPr>
          <w:rFonts w:cs="Calibri"/>
        </w:rPr>
        <w:t xml:space="preserve">Michel </w:t>
      </w:r>
      <w:proofErr w:type="spellStart"/>
      <w:r w:rsidRPr="00EB2911">
        <w:rPr>
          <w:rFonts w:cs="Calibri"/>
        </w:rPr>
        <w:t>Warschawski</w:t>
      </w:r>
      <w:proofErr w:type="spellEnd"/>
      <w:r w:rsidRPr="00EB2911">
        <w:rPr>
          <w:rFonts w:cs="Calibri"/>
        </w:rPr>
        <w:t xml:space="preserve">, </w:t>
      </w:r>
      <w:r w:rsidR="00FF4E08" w:rsidRPr="00EB2911">
        <w:rPr>
          <w:rFonts w:cs="Calibri"/>
        </w:rPr>
        <w:t>« </w:t>
      </w:r>
      <w:r w:rsidRPr="00EB2911">
        <w:rPr>
          <w:rFonts w:cs="Calibri"/>
        </w:rPr>
        <w:t>Nous avons dépassé les crimes de guerre à Gaza</w:t>
      </w:r>
      <w:r w:rsidR="00FF4E08" w:rsidRPr="00EB2911">
        <w:rPr>
          <w:rFonts w:cs="Calibri"/>
        </w:rPr>
        <w:t> »</w:t>
      </w:r>
      <w:r w:rsidRPr="00EB2911">
        <w:rPr>
          <w:rFonts w:cs="Calibri"/>
        </w:rPr>
        <w:t xml:space="preserve">, </w:t>
      </w:r>
      <w:r w:rsidRPr="00EB2911">
        <w:rPr>
          <w:rFonts w:cs="Calibri"/>
          <w:i/>
        </w:rPr>
        <w:t>Mediapart</w:t>
      </w:r>
      <w:r w:rsidRPr="00EB2911">
        <w:rPr>
          <w:rFonts w:cs="Calibri"/>
        </w:rPr>
        <w:t>, 28 octobre 2023.</w:t>
      </w:r>
    </w:p>
    <w:p w14:paraId="3E5292B2" w14:textId="0D0BA834" w:rsidR="00E567BB" w:rsidRPr="00EB2911" w:rsidRDefault="00000000" w:rsidP="00A63A1E">
      <w:pPr>
        <w:pStyle w:val="Paragraphedeliste"/>
        <w:numPr>
          <w:ilvl w:val="0"/>
          <w:numId w:val="24"/>
        </w:numPr>
        <w:rPr>
          <w:rFonts w:cs="Calibri"/>
        </w:rPr>
      </w:pPr>
      <w:r w:rsidRPr="00EB2911">
        <w:rPr>
          <w:rFonts w:cs="Calibri"/>
        </w:rPr>
        <w:lastRenderedPageBreak/>
        <w:t xml:space="preserve">Cette formule de la résolution 67/19 de l’Assemblée générale des Nations unies, le 29 novembre 2012, reprenait les termes d’une série de résolutions précédentes. Neuf mois après le début de la guerre à Gaza, quatre nouveaux pays européens avaient reconnu l’État de Palestine : l’Espagne, l’Irlande, la Norvège et la Slovénie. En retrait du droit international et en contradiction avec le vote de la France aux Nations unies en faveur d’une recommandation d’admission de la Palestine comme </w:t>
      </w:r>
      <w:r w:rsidR="00FF4E08" w:rsidRPr="00EB2911">
        <w:rPr>
          <w:rFonts w:cs="Calibri"/>
        </w:rPr>
        <w:t>« </w:t>
      </w:r>
      <w:r w:rsidRPr="00EB2911">
        <w:rPr>
          <w:rFonts w:cs="Calibri"/>
        </w:rPr>
        <w:t>État de plein droit</w:t>
      </w:r>
      <w:r w:rsidR="00FF4E08" w:rsidRPr="00EB2911">
        <w:rPr>
          <w:rFonts w:cs="Calibri"/>
        </w:rPr>
        <w:t> »</w:t>
      </w:r>
      <w:r w:rsidRPr="00EB2911">
        <w:rPr>
          <w:rFonts w:cs="Calibri"/>
        </w:rPr>
        <w:t>, le président français a rejeté le 28 mai 2024 ce qui aurait été, selon lui, une</w:t>
      </w:r>
      <w:r w:rsidR="00A63A1E" w:rsidRPr="00EB2911">
        <w:rPr>
          <w:rFonts w:cs="Calibri"/>
        </w:rPr>
        <w:t xml:space="preserve"> </w:t>
      </w:r>
      <w:r w:rsidR="00FF4E08" w:rsidRPr="00EB2911">
        <w:rPr>
          <w:rFonts w:cs="Calibri"/>
        </w:rPr>
        <w:t>« </w:t>
      </w:r>
      <w:r w:rsidRPr="00EB2911">
        <w:rPr>
          <w:rFonts w:cs="Calibri"/>
        </w:rPr>
        <w:t>reconnaissance d’émotion</w:t>
      </w:r>
      <w:r w:rsidR="00FF4E08" w:rsidRPr="00EB2911">
        <w:rPr>
          <w:rFonts w:cs="Calibri"/>
        </w:rPr>
        <w:t> »</w:t>
      </w:r>
      <w:r w:rsidRPr="00EB2911">
        <w:rPr>
          <w:rFonts w:cs="Calibri"/>
        </w:rPr>
        <w:t xml:space="preserve">. Marc </w:t>
      </w:r>
      <w:proofErr w:type="spellStart"/>
      <w:r w:rsidRPr="00EB2911">
        <w:rPr>
          <w:rFonts w:cs="Calibri"/>
        </w:rPr>
        <w:t>Daou</w:t>
      </w:r>
      <w:proofErr w:type="spellEnd"/>
      <w:r w:rsidRPr="00EB2911">
        <w:rPr>
          <w:rFonts w:cs="Calibri"/>
        </w:rPr>
        <w:t xml:space="preserve">, </w:t>
      </w:r>
      <w:r w:rsidR="00FF4E08" w:rsidRPr="00EB2911">
        <w:rPr>
          <w:rFonts w:cs="Calibri"/>
        </w:rPr>
        <w:t>« </w:t>
      </w:r>
      <w:r w:rsidRPr="00EB2911">
        <w:rPr>
          <w:rFonts w:cs="Calibri"/>
        </w:rPr>
        <w:t>Reconnaissance de l’État palestinien : c’est</w:t>
      </w:r>
      <w:r w:rsidR="00A63A1E" w:rsidRPr="00EB2911">
        <w:rPr>
          <w:rFonts w:cs="Calibri"/>
        </w:rPr>
        <w:t xml:space="preserve"> </w:t>
      </w:r>
      <w:r w:rsidR="00FF4E08" w:rsidRPr="00EB2911">
        <w:rPr>
          <w:rFonts w:cs="Calibri"/>
        </w:rPr>
        <w:t>« </w:t>
      </w:r>
      <w:r w:rsidRPr="00EB2911">
        <w:rPr>
          <w:rFonts w:cs="Calibri"/>
        </w:rPr>
        <w:t>le bon moment</w:t>
      </w:r>
      <w:r w:rsidR="00FF4E08" w:rsidRPr="00EB2911">
        <w:rPr>
          <w:rFonts w:cs="Calibri"/>
        </w:rPr>
        <w:t> »</w:t>
      </w:r>
      <w:r w:rsidRPr="00EB2911">
        <w:rPr>
          <w:rFonts w:cs="Calibri"/>
        </w:rPr>
        <w:t xml:space="preserve"> pour la France</w:t>
      </w:r>
      <w:r w:rsidR="00FF4E08" w:rsidRPr="00EB2911">
        <w:rPr>
          <w:rFonts w:cs="Calibri"/>
        </w:rPr>
        <w:t> »</w:t>
      </w:r>
      <w:r w:rsidRPr="00EB2911">
        <w:rPr>
          <w:rFonts w:cs="Calibri"/>
        </w:rPr>
        <w:t xml:space="preserve">, </w:t>
      </w:r>
      <w:r w:rsidRPr="00EB2911">
        <w:rPr>
          <w:rFonts w:cs="Calibri"/>
          <w:i/>
          <w:iCs/>
        </w:rPr>
        <w:t>France 24</w:t>
      </w:r>
      <w:r w:rsidRPr="00EB2911">
        <w:rPr>
          <w:rFonts w:cs="Calibri"/>
        </w:rPr>
        <w:t>, 30 mai 2024.</w:t>
      </w:r>
    </w:p>
    <w:p w14:paraId="00D2966D" w14:textId="34B6317A" w:rsidR="00E567BB" w:rsidRPr="00EB2911" w:rsidRDefault="00000000" w:rsidP="00A63A1E">
      <w:pPr>
        <w:pStyle w:val="Paragraphedeliste"/>
        <w:numPr>
          <w:ilvl w:val="0"/>
          <w:numId w:val="24"/>
        </w:numPr>
        <w:rPr>
          <w:rFonts w:cs="Calibri"/>
          <w:lang w:val="en-US"/>
        </w:rPr>
      </w:pPr>
      <w:r w:rsidRPr="00EB2911">
        <w:rPr>
          <w:rFonts w:cs="Calibri"/>
          <w:lang w:val="en-US"/>
        </w:rPr>
        <w:t xml:space="preserve">Ishaan Tharoor, </w:t>
      </w:r>
      <w:r w:rsidR="00FF4E08" w:rsidRPr="00EB2911">
        <w:rPr>
          <w:rFonts w:cs="Calibri"/>
          <w:lang w:val="en-US"/>
        </w:rPr>
        <w:t>« </w:t>
      </w:r>
      <w:r w:rsidRPr="00EB2911">
        <w:rPr>
          <w:rFonts w:cs="Calibri"/>
          <w:lang w:val="en-US"/>
        </w:rPr>
        <w:t xml:space="preserve">Welcome to the new, “new” Middle East”, </w:t>
      </w:r>
      <w:r w:rsidRPr="00EB2911">
        <w:rPr>
          <w:rFonts w:cs="Calibri"/>
          <w:i/>
          <w:iCs/>
          <w:lang w:val="en-US"/>
        </w:rPr>
        <w:t>The Washington Post</w:t>
      </w:r>
      <w:r w:rsidRPr="00EB2911">
        <w:rPr>
          <w:rFonts w:cs="Calibri"/>
          <w:lang w:val="en-US"/>
        </w:rPr>
        <w:t xml:space="preserve">, 16 </w:t>
      </w:r>
      <w:proofErr w:type="spellStart"/>
      <w:r w:rsidRPr="00EB2911">
        <w:rPr>
          <w:rFonts w:cs="Calibri"/>
          <w:lang w:val="en-US"/>
        </w:rPr>
        <w:t>octobre</w:t>
      </w:r>
      <w:proofErr w:type="spellEnd"/>
      <w:r w:rsidRPr="00EB2911">
        <w:rPr>
          <w:rFonts w:cs="Calibri"/>
          <w:lang w:val="en-US"/>
        </w:rPr>
        <w:t xml:space="preserve"> 2023.</w:t>
      </w:r>
    </w:p>
    <w:p w14:paraId="29E18C52" w14:textId="77777777" w:rsidR="00E567BB" w:rsidRPr="00EB2911" w:rsidRDefault="00000000" w:rsidP="00A63A1E">
      <w:pPr>
        <w:pStyle w:val="Paragraphedeliste"/>
        <w:numPr>
          <w:ilvl w:val="0"/>
          <w:numId w:val="24"/>
        </w:numPr>
        <w:rPr>
          <w:rFonts w:cs="Calibri"/>
          <w:lang w:val="en-US"/>
        </w:rPr>
      </w:pPr>
      <w:r w:rsidRPr="00EB2911">
        <w:rPr>
          <w:rFonts w:cs="Calibri"/>
          <w:lang w:val="en-US"/>
        </w:rPr>
        <w:t xml:space="preserve">Lazar Berman, “France slams Smotrich’s “infuriating” claim that Palestinian nation doesn’t exist”, </w:t>
      </w:r>
      <w:r w:rsidRPr="00EB2911">
        <w:rPr>
          <w:rFonts w:cs="Calibri"/>
          <w:i/>
          <w:iCs/>
          <w:lang w:val="en-US"/>
        </w:rPr>
        <w:t>The Times of Israel</w:t>
      </w:r>
      <w:r w:rsidRPr="00EB2911">
        <w:rPr>
          <w:rFonts w:cs="Calibri"/>
          <w:lang w:val="en-US"/>
        </w:rPr>
        <w:t>, 21 mars 2023.</w:t>
      </w:r>
    </w:p>
    <w:p w14:paraId="7A5BE159" w14:textId="04FE725C" w:rsidR="00E567BB" w:rsidRPr="00EB2911" w:rsidRDefault="00000000" w:rsidP="001D50D4">
      <w:pPr>
        <w:pStyle w:val="Paragraphedeliste"/>
        <w:numPr>
          <w:ilvl w:val="0"/>
          <w:numId w:val="24"/>
        </w:numPr>
        <w:rPr>
          <w:rFonts w:cs="Calibri"/>
        </w:rPr>
      </w:pPr>
      <w:r w:rsidRPr="00EB2911">
        <w:rPr>
          <w:rFonts w:cs="Calibri"/>
        </w:rPr>
        <w:t xml:space="preserve">Dès la fin octobre, le président des États-Unis soulignait la </w:t>
      </w:r>
      <w:r w:rsidR="00FF4E08" w:rsidRPr="00EB2911">
        <w:rPr>
          <w:rFonts w:cs="Calibri"/>
        </w:rPr>
        <w:t>« </w:t>
      </w:r>
      <w:r w:rsidRPr="00EB2911">
        <w:rPr>
          <w:rFonts w:cs="Calibri"/>
        </w:rPr>
        <w:t>nécessité d’un État palestinien</w:t>
      </w:r>
      <w:r w:rsidR="00FF4E08" w:rsidRPr="00EB2911">
        <w:rPr>
          <w:rFonts w:cs="Calibri"/>
        </w:rPr>
        <w:t> »</w:t>
      </w:r>
      <w:r w:rsidRPr="00EB2911">
        <w:rPr>
          <w:rFonts w:cs="Calibri"/>
        </w:rPr>
        <w:t xml:space="preserve">, </w:t>
      </w:r>
      <w:proofErr w:type="spellStart"/>
      <w:r w:rsidRPr="00EB2911">
        <w:rPr>
          <w:rFonts w:cs="Calibri"/>
        </w:rPr>
        <w:t>Yasmeen</w:t>
      </w:r>
      <w:proofErr w:type="spellEnd"/>
      <w:r w:rsidRPr="00EB2911">
        <w:rPr>
          <w:rFonts w:cs="Calibri"/>
        </w:rPr>
        <w:t xml:space="preserve"> </w:t>
      </w:r>
      <w:proofErr w:type="spellStart"/>
      <w:r w:rsidRPr="00EB2911">
        <w:rPr>
          <w:rFonts w:cs="Calibri"/>
        </w:rPr>
        <w:t>Abutaleb</w:t>
      </w:r>
      <w:proofErr w:type="spellEnd"/>
      <w:r w:rsidRPr="00EB2911">
        <w:rPr>
          <w:rFonts w:cs="Calibri"/>
        </w:rPr>
        <w:t xml:space="preserve">, </w:t>
      </w:r>
      <w:r w:rsidR="00FF4E08" w:rsidRPr="00EB2911">
        <w:rPr>
          <w:rFonts w:cs="Calibri"/>
        </w:rPr>
        <w:t>« </w:t>
      </w:r>
      <w:r w:rsidRPr="00EB2911">
        <w:rPr>
          <w:rFonts w:cs="Calibri"/>
        </w:rPr>
        <w:t xml:space="preserve">Biden, </w:t>
      </w:r>
      <w:proofErr w:type="spellStart"/>
      <w:r w:rsidRPr="00EB2911">
        <w:rPr>
          <w:rFonts w:cs="Calibri"/>
        </w:rPr>
        <w:t>shifting</w:t>
      </w:r>
      <w:proofErr w:type="spellEnd"/>
      <w:r w:rsidRPr="00EB2911">
        <w:rPr>
          <w:rFonts w:cs="Calibri"/>
        </w:rPr>
        <w:t xml:space="preserve"> </w:t>
      </w:r>
      <w:proofErr w:type="spellStart"/>
      <w:r w:rsidRPr="00EB2911">
        <w:rPr>
          <w:rFonts w:cs="Calibri"/>
        </w:rPr>
        <w:t>tone</w:t>
      </w:r>
      <w:proofErr w:type="spellEnd"/>
      <w:r w:rsidRPr="00EB2911">
        <w:rPr>
          <w:rFonts w:cs="Calibri"/>
        </w:rPr>
        <w:t xml:space="preserve">, stresses </w:t>
      </w:r>
      <w:proofErr w:type="spellStart"/>
      <w:r w:rsidRPr="00EB2911">
        <w:rPr>
          <w:rFonts w:cs="Calibri"/>
        </w:rPr>
        <w:t>need</w:t>
      </w:r>
      <w:proofErr w:type="spellEnd"/>
      <w:r w:rsidRPr="00EB2911">
        <w:rPr>
          <w:rFonts w:cs="Calibri"/>
        </w:rPr>
        <w:t xml:space="preserve"> for </w:t>
      </w:r>
      <w:proofErr w:type="spellStart"/>
      <w:r w:rsidRPr="00EB2911">
        <w:rPr>
          <w:rFonts w:cs="Calibri"/>
        </w:rPr>
        <w:t>Palestinian</w:t>
      </w:r>
      <w:proofErr w:type="spellEnd"/>
      <w:r w:rsidRPr="00EB2911">
        <w:rPr>
          <w:rFonts w:cs="Calibri"/>
        </w:rPr>
        <w:t xml:space="preserve"> state</w:t>
      </w:r>
      <w:r w:rsidR="00FF4E08" w:rsidRPr="00EB2911">
        <w:rPr>
          <w:rFonts w:cs="Calibri"/>
        </w:rPr>
        <w:t> »</w:t>
      </w:r>
      <w:r w:rsidRPr="00EB2911">
        <w:rPr>
          <w:rFonts w:cs="Calibri"/>
        </w:rPr>
        <w:t xml:space="preserve">, </w:t>
      </w:r>
      <w:r w:rsidRPr="00EB2911">
        <w:rPr>
          <w:rFonts w:cs="Calibri"/>
          <w:i/>
          <w:iCs/>
        </w:rPr>
        <w:t>The Washington Post</w:t>
      </w:r>
      <w:r w:rsidRPr="00EB2911">
        <w:rPr>
          <w:rFonts w:cs="Calibri"/>
        </w:rPr>
        <w:t xml:space="preserve">, 25 octobre 2023. Mais, en coulisse, la Maison-Blanche s’oppose à cette création, comme le révèle des télégrammes diplomatiques enjoignant les membres du Conseil de sécurité des Nations unies de voter contre le texte proposant la reconnaissance de la Palestine comme membre à part entière de l’ONU : Ken </w:t>
      </w:r>
      <w:proofErr w:type="spellStart"/>
      <w:r w:rsidRPr="00EB2911">
        <w:rPr>
          <w:rFonts w:cs="Calibri"/>
        </w:rPr>
        <w:t>Klippenstein</w:t>
      </w:r>
      <w:proofErr w:type="spellEnd"/>
      <w:r w:rsidRPr="00EB2911">
        <w:rPr>
          <w:rFonts w:cs="Calibri"/>
        </w:rPr>
        <w:t xml:space="preserve"> et Daniel </w:t>
      </w:r>
      <w:proofErr w:type="spellStart"/>
      <w:r w:rsidRPr="00EB2911">
        <w:rPr>
          <w:rFonts w:cs="Calibri"/>
        </w:rPr>
        <w:t>Boguslaw</w:t>
      </w:r>
      <w:proofErr w:type="spellEnd"/>
      <w:r w:rsidRPr="00EB2911">
        <w:rPr>
          <w:rFonts w:cs="Calibri"/>
        </w:rPr>
        <w:t xml:space="preserve">, </w:t>
      </w:r>
      <w:r w:rsidR="00FF4E08" w:rsidRPr="00EB2911">
        <w:rPr>
          <w:rFonts w:cs="Calibri"/>
        </w:rPr>
        <w:t>« </w:t>
      </w:r>
      <w:proofErr w:type="spellStart"/>
      <w:r w:rsidRPr="00EB2911">
        <w:rPr>
          <w:rFonts w:cs="Calibri"/>
        </w:rPr>
        <w:t>Leaked</w:t>
      </w:r>
      <w:proofErr w:type="spellEnd"/>
      <w:r w:rsidRPr="00EB2911">
        <w:rPr>
          <w:rFonts w:cs="Calibri"/>
        </w:rPr>
        <w:t xml:space="preserve"> </w:t>
      </w:r>
      <w:proofErr w:type="spellStart"/>
      <w:r w:rsidRPr="00EB2911">
        <w:rPr>
          <w:rFonts w:cs="Calibri"/>
        </w:rPr>
        <w:t>cables</w:t>
      </w:r>
      <w:proofErr w:type="spellEnd"/>
      <w:r w:rsidRPr="00EB2911">
        <w:rPr>
          <w:rFonts w:cs="Calibri"/>
        </w:rPr>
        <w:t xml:space="preserve"> show White Housse opposes </w:t>
      </w:r>
      <w:proofErr w:type="spellStart"/>
      <w:r w:rsidRPr="00EB2911">
        <w:rPr>
          <w:rFonts w:cs="Calibri"/>
        </w:rPr>
        <w:t>Palestinian</w:t>
      </w:r>
      <w:proofErr w:type="spellEnd"/>
      <w:r w:rsidRPr="00EB2911">
        <w:rPr>
          <w:rFonts w:cs="Calibri"/>
        </w:rPr>
        <w:t xml:space="preserve"> </w:t>
      </w:r>
      <w:proofErr w:type="spellStart"/>
      <w:r w:rsidRPr="00EB2911">
        <w:rPr>
          <w:rFonts w:cs="Calibri"/>
        </w:rPr>
        <w:t>statehood</w:t>
      </w:r>
      <w:proofErr w:type="spellEnd"/>
      <w:r w:rsidR="00FF4E08" w:rsidRPr="00EB2911">
        <w:rPr>
          <w:rFonts w:cs="Calibri"/>
        </w:rPr>
        <w:t> »</w:t>
      </w:r>
      <w:r w:rsidRPr="00EB2911">
        <w:rPr>
          <w:rFonts w:cs="Calibri"/>
        </w:rPr>
        <w:t xml:space="preserve">, </w:t>
      </w:r>
      <w:r w:rsidRPr="00EB2911">
        <w:rPr>
          <w:rFonts w:cs="Calibri"/>
          <w:i/>
          <w:iCs/>
        </w:rPr>
        <w:t>The Intercept</w:t>
      </w:r>
      <w:r w:rsidRPr="00EB2911">
        <w:rPr>
          <w:rFonts w:cs="Calibri"/>
        </w:rPr>
        <w:t>, 17 avril 2024.</w:t>
      </w:r>
    </w:p>
    <w:p w14:paraId="216FAE8A" w14:textId="77777777" w:rsidR="00A33C30" w:rsidRPr="00EB2911" w:rsidRDefault="00A33C30" w:rsidP="00A33C30">
      <w:pPr>
        <w:rPr>
          <w:rFonts w:cs="Calibri"/>
        </w:rPr>
      </w:pPr>
    </w:p>
    <w:p w14:paraId="54879BCE" w14:textId="77777777" w:rsidR="00A33C30" w:rsidRPr="00EB2911" w:rsidRDefault="00A33C30" w:rsidP="00A33C30">
      <w:pPr>
        <w:jc w:val="center"/>
        <w:rPr>
          <w:rFonts w:cs="Calibri"/>
          <w:lang w:val="es-ES"/>
        </w:rPr>
      </w:pPr>
      <w:r w:rsidRPr="00EB2911">
        <w:rPr>
          <w:rFonts w:cs="Calibri"/>
          <w:lang w:val="es-ES"/>
        </w:rPr>
        <w:t>- o - o - o -</w:t>
      </w:r>
    </w:p>
    <w:p w14:paraId="343E5F07" w14:textId="77777777" w:rsidR="00E567BB" w:rsidRPr="00EB2911" w:rsidRDefault="00E567BB" w:rsidP="001D50D4">
      <w:pPr>
        <w:rPr>
          <w:rFonts w:cs="Calibri"/>
          <w:lang w:val="es-ES"/>
        </w:rPr>
      </w:pPr>
    </w:p>
    <w:p w14:paraId="2EAAD706" w14:textId="01EBDD45" w:rsidR="003C6E4C" w:rsidRPr="00EB2911" w:rsidRDefault="00000000" w:rsidP="00374934">
      <w:pPr>
        <w:pStyle w:val="Titre1"/>
        <w:rPr>
          <w:lang w:val="es-ES"/>
        </w:rPr>
      </w:pPr>
      <w:bookmarkStart w:id="5" w:name="_Toc199350663"/>
      <w:r w:rsidRPr="00EB2911">
        <w:rPr>
          <w:lang w:val="es-ES"/>
        </w:rPr>
        <w:t xml:space="preserve">Les </w:t>
      </w:r>
      <w:proofErr w:type="spellStart"/>
      <w:r w:rsidRPr="00EB2911">
        <w:rPr>
          <w:lang w:val="es-ES"/>
        </w:rPr>
        <w:t>crimes</w:t>
      </w:r>
      <w:proofErr w:type="spellEnd"/>
      <w:r w:rsidRPr="00EB2911">
        <w:rPr>
          <w:lang w:val="es-ES"/>
        </w:rPr>
        <w:t xml:space="preserve"> de </w:t>
      </w:r>
      <w:proofErr w:type="spellStart"/>
      <w:r w:rsidRPr="00EB2911">
        <w:rPr>
          <w:lang w:val="es-ES"/>
        </w:rPr>
        <w:t>guerre</w:t>
      </w:r>
      <w:proofErr w:type="spellEnd"/>
      <w:r w:rsidRPr="00EB2911">
        <w:rPr>
          <w:lang w:val="es-ES"/>
        </w:rPr>
        <w:t xml:space="preserve"> </w:t>
      </w:r>
      <w:proofErr w:type="spellStart"/>
      <w:r w:rsidRPr="00EB2911">
        <w:rPr>
          <w:lang w:val="es-ES"/>
        </w:rPr>
        <w:t>israéliens</w:t>
      </w:r>
      <w:bookmarkEnd w:id="5"/>
      <w:proofErr w:type="spellEnd"/>
    </w:p>
    <w:p w14:paraId="5B057C34" w14:textId="0E4BD500" w:rsidR="00E567BB" w:rsidRPr="00EB2911" w:rsidRDefault="00000000" w:rsidP="001D50D4">
      <w:pPr>
        <w:rPr>
          <w:rFonts w:cs="Calibri"/>
        </w:rPr>
      </w:pPr>
      <w:r w:rsidRPr="00EB2911">
        <w:rPr>
          <w:rFonts w:cs="Calibri"/>
        </w:rPr>
        <w:t>Selon les services de renseignements états-uniens, près de la moitié des bombes lâchées sur le territoire l’étaient à l’aveugle tandis que des bombes de près d’une tonne susceptibles de creuser des cratères de 360 mètres de diamètre étaient larguées sur des zones densément habitées, ces deux éléments attestant la volonté de décimer des civils de manière indiscriminée. Chaque jour, plus d’une centaine d’enfants mouraient, et l’on estime que plus d’enfants ont été tués à Gaza au cours des trois premières semaines de la guerre que, chaque année depuis 2019,</w:t>
      </w:r>
      <w:r w:rsidR="0042564A" w:rsidRPr="00EB2911">
        <w:rPr>
          <w:rFonts w:cs="Calibri"/>
        </w:rPr>
        <w:t xml:space="preserve"> </w:t>
      </w:r>
      <w:r w:rsidRPr="00EB2911">
        <w:rPr>
          <w:rFonts w:cs="Calibri"/>
        </w:rPr>
        <w:t>dans l’ensemble des conflits de la planète. Lors des évacuations massives de population imposées par l’armée israélienne, des déplacés ont été la cible des soldats, des drones ou des bombes sur les trajets supposés être des corridors sécurisés. Certaines professions étaient particulièrement affectées : 311 médecins, infirmières et autres agents de santé, 103 journalistes, 209 enseignants, 144 agents des Nation unies, principalement des humanitaires, ont été tués en moins de trois mois. On dénombrait au cours de cette période 238 attaques contre des structures sanitaires dans lesquelles au moins 570 personnes avaient été tuées et 746 autres blessées parmi les patients et les déplacés venus se réfugier dans ces bâtiments. Parmi les 55 000 blessés, un millier d’enfants ont perdu un ou les deux membres inférieurs, et l’utilisation de munitions incendiaires au phosphore blanc a causé de sévères brûlures.</w:t>
      </w:r>
      <w:r w:rsidR="00374934" w:rsidRPr="00EB2911">
        <w:rPr>
          <w:rStyle w:val="Appelnotedebasdep"/>
          <w:rFonts w:cs="Calibri"/>
        </w:rPr>
        <w:footnoteReference w:id="6"/>
      </w:r>
    </w:p>
    <w:p w14:paraId="1803EC3D" w14:textId="77777777" w:rsidR="00A33C30" w:rsidRPr="00EB2911" w:rsidRDefault="00A33C30" w:rsidP="00A33C30">
      <w:pPr>
        <w:rPr>
          <w:rFonts w:cs="Calibri"/>
        </w:rPr>
      </w:pPr>
    </w:p>
    <w:p w14:paraId="698A9D13" w14:textId="77777777" w:rsidR="00A33C30" w:rsidRPr="00EB2911" w:rsidRDefault="00A33C30" w:rsidP="00A33C30">
      <w:pPr>
        <w:jc w:val="center"/>
        <w:rPr>
          <w:rFonts w:cs="Calibri"/>
          <w:lang w:val="fr-CA"/>
        </w:rPr>
      </w:pPr>
      <w:r w:rsidRPr="00EB2911">
        <w:rPr>
          <w:rFonts w:cs="Calibri"/>
          <w:lang w:val="fr-CA"/>
        </w:rPr>
        <w:t>- o - o - o -</w:t>
      </w:r>
    </w:p>
    <w:p w14:paraId="32616416" w14:textId="77777777" w:rsidR="00E567BB" w:rsidRPr="00EB2911" w:rsidRDefault="00E567BB" w:rsidP="001D50D4">
      <w:pPr>
        <w:rPr>
          <w:rFonts w:cs="Calibri"/>
        </w:rPr>
      </w:pPr>
    </w:p>
    <w:p w14:paraId="2296181A" w14:textId="50944A8D" w:rsidR="003C6E4C" w:rsidRPr="00EB2911" w:rsidRDefault="00000000" w:rsidP="00374934">
      <w:pPr>
        <w:pStyle w:val="Titre1"/>
      </w:pPr>
      <w:bookmarkStart w:id="6" w:name="_Toc199350664"/>
      <w:r w:rsidRPr="00EB2911">
        <w:lastRenderedPageBreak/>
        <w:t>L’usage de fakes news dans la propagande israélienne</w:t>
      </w:r>
      <w:bookmarkEnd w:id="6"/>
    </w:p>
    <w:p w14:paraId="09C28792" w14:textId="1D44442D" w:rsidR="00E567BB" w:rsidRPr="00EB2911" w:rsidRDefault="00000000" w:rsidP="001D50D4">
      <w:pPr>
        <w:rPr>
          <w:rFonts w:cs="Calibri"/>
        </w:rPr>
      </w:pPr>
      <w:r w:rsidRPr="00EB2911">
        <w:rPr>
          <w:rFonts w:cs="Calibri"/>
        </w:rPr>
        <w:t xml:space="preserve">La situation humanitaire a de surcroît encore été aggravé par les allégations israéliennes à l’encontre de l’UNRWA, l’Office de secours et de travaux des Nations unies pour les réfugiés de Palestine, de loin la plus grande agence internationale d’aide à Gaza, dont douze membres ont été accusés d’avoir participé aux événements du 7 octobre, ce qui a entraîné la suspension du financement de seize des plus grands pays donateurs, dont les États-Unis, l’Allemagne et la France, sans qu’Israël ait apporté aucun élément attestant l’implication de ces membres que les services de renseignements états-uniens considèrent comme peu vraisemblable (1). La mission indépendante des Nations unies présidée par Catherine Colonna a rendu ses conclusions dans un rapport de 54 pages publié le 22 avril 2024, confirmant le fait qu’Israël n’avait fourni aucune preuve à l’appui de ses accusations, attestant l’absence de formulations antisémites dans les livres scolaires, saluant la rigueur de l’agence en termes de neutralité de son activité, et faisant une série de recommandations pour en améliorer encore le fonctionnement (2). En réalité, il apparait que la déstabilisation de l’agence fait partie d’un plan israélien destiné à </w:t>
      </w:r>
      <w:r w:rsidR="00FF4E08" w:rsidRPr="00EB2911">
        <w:rPr>
          <w:rFonts w:cs="Calibri"/>
        </w:rPr>
        <w:t>« </w:t>
      </w:r>
      <w:r w:rsidRPr="00EB2911">
        <w:rPr>
          <w:rFonts w:cs="Calibri"/>
        </w:rPr>
        <w:t>détruire l’UNRWA</w:t>
      </w:r>
      <w:r w:rsidR="00FF4E08" w:rsidRPr="00EB2911">
        <w:rPr>
          <w:rFonts w:cs="Calibri"/>
        </w:rPr>
        <w:t> »</w:t>
      </w:r>
      <w:r w:rsidRPr="00EB2911">
        <w:rPr>
          <w:rFonts w:cs="Calibri"/>
        </w:rPr>
        <w:t xml:space="preserve">, dont les camions d’aide ont été interdits d’entrer à Gaza, avec pour conséquence, selon son directeur des opérations, que </w:t>
      </w:r>
      <w:r w:rsidR="00FF4E08" w:rsidRPr="00EB2911">
        <w:rPr>
          <w:rFonts w:cs="Calibri"/>
        </w:rPr>
        <w:t>« </w:t>
      </w:r>
      <w:r w:rsidRPr="00EB2911">
        <w:rPr>
          <w:rFonts w:cs="Calibri"/>
        </w:rPr>
        <w:t>plus de gens vont mourir (3)</w:t>
      </w:r>
      <w:r w:rsidR="00FF4E08" w:rsidRPr="00EB2911">
        <w:rPr>
          <w:rFonts w:cs="Calibri"/>
        </w:rPr>
        <w:t> »</w:t>
      </w:r>
      <w:r w:rsidRPr="00EB2911">
        <w:rPr>
          <w:rFonts w:cs="Calibri"/>
        </w:rPr>
        <w:t>.</w:t>
      </w:r>
      <w:r w:rsidR="00220860" w:rsidRPr="00EB2911">
        <w:rPr>
          <w:rStyle w:val="Appelnotedebasdep"/>
          <w:rFonts w:cs="Calibri"/>
        </w:rPr>
        <w:footnoteReference w:id="7"/>
      </w:r>
    </w:p>
    <w:p w14:paraId="71F1F146" w14:textId="77777777" w:rsidR="000C53E0" w:rsidRPr="00EB2911" w:rsidRDefault="000C53E0" w:rsidP="001D50D4">
      <w:pPr>
        <w:rPr>
          <w:rFonts w:cs="Calibri"/>
        </w:rPr>
      </w:pPr>
    </w:p>
    <w:p w14:paraId="06D795C7" w14:textId="0932C325" w:rsidR="00E567BB" w:rsidRPr="00EB2911" w:rsidRDefault="00000000" w:rsidP="001F4920">
      <w:pPr>
        <w:pStyle w:val="Paragraphedeliste"/>
        <w:numPr>
          <w:ilvl w:val="0"/>
          <w:numId w:val="22"/>
        </w:numPr>
        <w:rPr>
          <w:rFonts w:cs="Calibri"/>
          <w:lang w:val="en-US"/>
        </w:rPr>
      </w:pPr>
      <w:r w:rsidRPr="00EB2911">
        <w:rPr>
          <w:rFonts w:cs="Calibri"/>
          <w:lang w:val="en-US"/>
        </w:rPr>
        <w:t xml:space="preserve">Julian Borger, </w:t>
      </w:r>
      <w:r w:rsidR="00FF4E08" w:rsidRPr="00EB2911">
        <w:rPr>
          <w:rFonts w:cs="Calibri"/>
          <w:lang w:val="en-US"/>
        </w:rPr>
        <w:t>« </w:t>
      </w:r>
      <w:r w:rsidRPr="00EB2911">
        <w:rPr>
          <w:rFonts w:cs="Calibri"/>
          <w:lang w:val="en-US"/>
        </w:rPr>
        <w:t xml:space="preserve">Israel yet to provide evidence to back UNRWA 7 </w:t>
      </w:r>
      <w:r w:rsidR="001F4920" w:rsidRPr="00EB2911">
        <w:rPr>
          <w:rFonts w:cs="Calibri"/>
          <w:lang w:val="en-US"/>
        </w:rPr>
        <w:t>O</w:t>
      </w:r>
      <w:r w:rsidRPr="00EB2911">
        <w:rPr>
          <w:rFonts w:cs="Calibri"/>
          <w:lang w:val="en-US"/>
        </w:rPr>
        <w:t xml:space="preserve">ctober attack claim – UN”, </w:t>
      </w:r>
      <w:r w:rsidRPr="00EB2911">
        <w:rPr>
          <w:rFonts w:cs="Calibri"/>
          <w:i/>
          <w:iCs/>
          <w:lang w:val="en-US"/>
        </w:rPr>
        <w:t>The Guardian</w:t>
      </w:r>
      <w:r w:rsidRPr="00EB2911">
        <w:rPr>
          <w:rFonts w:cs="Calibri"/>
          <w:lang w:val="en-US"/>
        </w:rPr>
        <w:t>, 1er mars 2024.</w:t>
      </w:r>
    </w:p>
    <w:p w14:paraId="1799AD71" w14:textId="6E9E3C99" w:rsidR="00E567BB" w:rsidRPr="00EB2911" w:rsidRDefault="00000000" w:rsidP="00F36E01">
      <w:pPr>
        <w:pStyle w:val="Paragraphedeliste"/>
        <w:numPr>
          <w:ilvl w:val="0"/>
          <w:numId w:val="22"/>
        </w:numPr>
        <w:rPr>
          <w:rFonts w:cs="Calibri"/>
          <w:lang w:val="en-US"/>
        </w:rPr>
      </w:pPr>
      <w:r w:rsidRPr="00EB2911">
        <w:rPr>
          <w:rFonts w:cs="Calibri"/>
          <w:lang w:val="en-US"/>
        </w:rPr>
        <w:t xml:space="preserve">United Nations, “Independent review panel releases final report on UNRWA”, 22 </w:t>
      </w:r>
      <w:proofErr w:type="spellStart"/>
      <w:r w:rsidR="009F1CD7" w:rsidRPr="00EB2911">
        <w:rPr>
          <w:rFonts w:cs="Calibri"/>
          <w:lang w:val="en-US"/>
        </w:rPr>
        <w:t>avril</w:t>
      </w:r>
      <w:proofErr w:type="spellEnd"/>
      <w:r w:rsidRPr="00EB2911">
        <w:rPr>
          <w:rFonts w:cs="Calibri"/>
          <w:lang w:val="en-US"/>
        </w:rPr>
        <w:t xml:space="preserve"> 2024.</w:t>
      </w:r>
    </w:p>
    <w:p w14:paraId="7D9F79BA" w14:textId="77777777" w:rsidR="00E567BB" w:rsidRPr="00EB2911" w:rsidRDefault="00000000" w:rsidP="00F36E01">
      <w:pPr>
        <w:pStyle w:val="Paragraphedeliste"/>
        <w:numPr>
          <w:ilvl w:val="0"/>
          <w:numId w:val="22"/>
        </w:numPr>
        <w:rPr>
          <w:rFonts w:cs="Calibri"/>
          <w:lang w:val="en-US"/>
        </w:rPr>
      </w:pPr>
      <w:r w:rsidRPr="00EB2911">
        <w:rPr>
          <w:rFonts w:cs="Calibri"/>
          <w:lang w:val="en-US"/>
        </w:rPr>
        <w:t xml:space="preserve">Neve Gordon et </w:t>
      </w:r>
      <w:proofErr w:type="spellStart"/>
      <w:r w:rsidRPr="00EB2911">
        <w:rPr>
          <w:rFonts w:cs="Calibri"/>
          <w:lang w:val="en-US"/>
        </w:rPr>
        <w:t>Mouna</w:t>
      </w:r>
      <w:proofErr w:type="spellEnd"/>
      <w:r w:rsidRPr="00EB2911">
        <w:rPr>
          <w:rFonts w:cs="Calibri"/>
          <w:lang w:val="en-US"/>
        </w:rPr>
        <w:t xml:space="preserve"> Haddad, “The road to famine in Gaza”, </w:t>
      </w:r>
      <w:r w:rsidRPr="00EB2911">
        <w:rPr>
          <w:rFonts w:cs="Calibri"/>
          <w:i/>
          <w:iCs/>
          <w:lang w:val="en-US"/>
        </w:rPr>
        <w:t>The New York Review of Books</w:t>
      </w:r>
      <w:r w:rsidRPr="00EB2911">
        <w:rPr>
          <w:rFonts w:cs="Calibri"/>
          <w:lang w:val="en-US"/>
        </w:rPr>
        <w:t xml:space="preserve">, 18 </w:t>
      </w:r>
      <w:proofErr w:type="spellStart"/>
      <w:r w:rsidRPr="00EB2911">
        <w:rPr>
          <w:rFonts w:cs="Calibri"/>
          <w:lang w:val="en-US"/>
        </w:rPr>
        <w:t>avril</w:t>
      </w:r>
      <w:proofErr w:type="spellEnd"/>
      <w:r w:rsidRPr="00EB2911">
        <w:rPr>
          <w:rFonts w:cs="Calibri"/>
          <w:lang w:val="en-US"/>
        </w:rPr>
        <w:t xml:space="preserve"> 2024.</w:t>
      </w:r>
    </w:p>
    <w:p w14:paraId="1EE6ED15" w14:textId="77777777" w:rsidR="00A33C30" w:rsidRPr="00EB2911" w:rsidRDefault="00A33C30" w:rsidP="00A33C30">
      <w:pPr>
        <w:rPr>
          <w:rFonts w:cs="Calibri"/>
          <w:lang w:val="en-US"/>
        </w:rPr>
      </w:pPr>
    </w:p>
    <w:p w14:paraId="1C21EF56" w14:textId="77777777" w:rsidR="00A33C30" w:rsidRPr="00EB2911" w:rsidRDefault="00A33C30" w:rsidP="00A33C30">
      <w:pPr>
        <w:jc w:val="center"/>
        <w:rPr>
          <w:rFonts w:cs="Calibri"/>
          <w:lang w:val="es-ES"/>
        </w:rPr>
      </w:pPr>
      <w:r w:rsidRPr="00EB2911">
        <w:rPr>
          <w:rFonts w:cs="Calibri"/>
          <w:lang w:val="es-ES"/>
        </w:rPr>
        <w:t>- o - o - o -</w:t>
      </w:r>
    </w:p>
    <w:p w14:paraId="6D9B8878" w14:textId="77777777" w:rsidR="00E567BB" w:rsidRPr="00EB2911" w:rsidRDefault="00E567BB" w:rsidP="001D50D4">
      <w:pPr>
        <w:rPr>
          <w:rFonts w:cs="Calibri"/>
          <w:lang w:val="es-ES"/>
        </w:rPr>
      </w:pPr>
    </w:p>
    <w:p w14:paraId="4760B382" w14:textId="22133C0B" w:rsidR="003C6E4C" w:rsidRPr="00CC7372" w:rsidRDefault="00DB26CE" w:rsidP="00DB0E24">
      <w:pPr>
        <w:pStyle w:val="Titre1"/>
        <w:rPr>
          <w:lang w:val="es-ES"/>
        </w:rPr>
      </w:pPr>
      <w:bookmarkStart w:id="7" w:name="_Toc199350665"/>
      <w:proofErr w:type="spellStart"/>
      <w:r w:rsidRPr="00CC7372">
        <w:rPr>
          <w:lang w:val="es-ES"/>
        </w:rPr>
        <w:t>L’intention</w:t>
      </w:r>
      <w:proofErr w:type="spellEnd"/>
      <w:r w:rsidRPr="00CC7372">
        <w:rPr>
          <w:lang w:val="es-ES"/>
        </w:rPr>
        <w:t xml:space="preserve"> de </w:t>
      </w:r>
      <w:proofErr w:type="spellStart"/>
      <w:r w:rsidRPr="00CC7372">
        <w:rPr>
          <w:lang w:val="es-ES"/>
        </w:rPr>
        <w:t>génocide</w:t>
      </w:r>
      <w:proofErr w:type="spellEnd"/>
      <w:r w:rsidRPr="00CC7372">
        <w:rPr>
          <w:lang w:val="es-ES"/>
        </w:rPr>
        <w:t xml:space="preserve"> </w:t>
      </w:r>
      <w:proofErr w:type="spellStart"/>
      <w:r w:rsidRPr="00CC7372">
        <w:rPr>
          <w:lang w:val="es-ES"/>
        </w:rPr>
        <w:t>palestinien</w:t>
      </w:r>
      <w:bookmarkEnd w:id="7"/>
      <w:proofErr w:type="spellEnd"/>
    </w:p>
    <w:p w14:paraId="48F84823" w14:textId="09BBE108" w:rsidR="00E567BB" w:rsidRPr="00EB2911" w:rsidRDefault="00000000" w:rsidP="001D50D4">
      <w:pPr>
        <w:rPr>
          <w:rFonts w:cs="Calibri"/>
        </w:rPr>
      </w:pPr>
      <w:r w:rsidRPr="00EB2911">
        <w:rPr>
          <w:rFonts w:cs="Calibri"/>
        </w:rPr>
        <w:t xml:space="preserve">Les discours sur le projet de l’État hébreu ne sont pas moins probants que les faits. Pour l’historien israélien Raz Segal, qui parle de </w:t>
      </w:r>
      <w:r w:rsidR="00FF4E08" w:rsidRPr="00EB2911">
        <w:rPr>
          <w:rFonts w:cs="Calibri"/>
        </w:rPr>
        <w:t>« </w:t>
      </w:r>
      <w:r w:rsidRPr="00EB2911">
        <w:rPr>
          <w:rFonts w:cs="Calibri"/>
        </w:rPr>
        <w:t>cas d’école en matière de génocide</w:t>
      </w:r>
      <w:r w:rsidR="00FF4E08" w:rsidRPr="00EB2911">
        <w:rPr>
          <w:rFonts w:cs="Calibri"/>
        </w:rPr>
        <w:t> »</w:t>
      </w:r>
      <w:r w:rsidRPr="00EB2911">
        <w:rPr>
          <w:rFonts w:cs="Calibri"/>
        </w:rPr>
        <w:t xml:space="preserve">, il est en effet rare que les auteurs expriment leur intention d’en commettre un de manière aussi </w:t>
      </w:r>
      <w:r w:rsidR="00FF4E08" w:rsidRPr="00EB2911">
        <w:rPr>
          <w:rFonts w:cs="Calibri"/>
        </w:rPr>
        <w:t>« </w:t>
      </w:r>
      <w:r w:rsidRPr="00EB2911">
        <w:rPr>
          <w:rFonts w:cs="Calibri"/>
        </w:rPr>
        <w:t>explicite, ouverte et décomplexée</w:t>
      </w:r>
      <w:r w:rsidR="00FF4E08" w:rsidRPr="00EB2911">
        <w:rPr>
          <w:rFonts w:cs="Calibri"/>
        </w:rPr>
        <w:t> »</w:t>
      </w:r>
      <w:r w:rsidRPr="00EB2911">
        <w:rPr>
          <w:rFonts w:cs="Calibri"/>
        </w:rPr>
        <w:t xml:space="preserve"> (1). Car, très vite, les discours jusqu’aux plus hautes sphères du pouvoir, ont montré que l’intervention militaire israélienne à Gaza visait bien plus que la disparition du Hamas, objectif que beaucoup considéraient du reste comme inatteignable : c’étaient indistinctement l’ensemble du territoire et de ses résidents qui étaient la cible. La liste des citations documentées par l’Afrique du Sud est impressionnante : le Premier ministre demandant aux soldats de </w:t>
      </w:r>
      <w:r w:rsidR="00FF4E08" w:rsidRPr="00EB2911">
        <w:rPr>
          <w:rFonts w:cs="Calibri"/>
        </w:rPr>
        <w:t>« </w:t>
      </w:r>
      <w:r w:rsidRPr="00EB2911">
        <w:rPr>
          <w:rFonts w:cs="Calibri"/>
        </w:rPr>
        <w:t>se souvenir de ce qu’</w:t>
      </w:r>
      <w:proofErr w:type="spellStart"/>
      <w:r w:rsidRPr="00EB2911">
        <w:rPr>
          <w:rFonts w:cs="Calibri"/>
        </w:rPr>
        <w:t>Amalek</w:t>
      </w:r>
      <w:proofErr w:type="spellEnd"/>
      <w:r w:rsidRPr="00EB2911">
        <w:rPr>
          <w:rFonts w:cs="Calibri"/>
        </w:rPr>
        <w:t xml:space="preserve"> vous a fait</w:t>
      </w:r>
      <w:r w:rsidR="00FF4E08" w:rsidRPr="00EB2911">
        <w:rPr>
          <w:rFonts w:cs="Calibri"/>
        </w:rPr>
        <w:t> »</w:t>
      </w:r>
      <w:r w:rsidRPr="00EB2911">
        <w:rPr>
          <w:rFonts w:cs="Calibri"/>
        </w:rPr>
        <w:t xml:space="preserve">, en référence à l’ennemi biblique dont Israël devait, selon le texte sacré, indistinctement </w:t>
      </w:r>
      <w:r w:rsidR="00FF4E08" w:rsidRPr="00EB2911">
        <w:rPr>
          <w:rFonts w:cs="Calibri"/>
        </w:rPr>
        <w:t>« </w:t>
      </w:r>
      <w:r w:rsidRPr="00EB2911">
        <w:rPr>
          <w:rFonts w:cs="Calibri"/>
        </w:rPr>
        <w:t>tuer les hommes et les femmes, les nourrissons et les nouveau-nés</w:t>
      </w:r>
      <w:r w:rsidR="00FF4E08" w:rsidRPr="00EB2911">
        <w:rPr>
          <w:rFonts w:cs="Calibri"/>
        </w:rPr>
        <w:t> »</w:t>
      </w:r>
      <w:r w:rsidRPr="00EB2911">
        <w:rPr>
          <w:rFonts w:cs="Calibri"/>
        </w:rPr>
        <w:t xml:space="preserve">; le président affirmant à propos des Palestiniens que </w:t>
      </w:r>
      <w:r w:rsidR="00FF4E08" w:rsidRPr="00EB2911">
        <w:rPr>
          <w:rFonts w:cs="Calibri"/>
        </w:rPr>
        <w:t>« </w:t>
      </w:r>
      <w:r w:rsidRPr="00EB2911">
        <w:rPr>
          <w:rFonts w:cs="Calibri"/>
        </w:rPr>
        <w:t>la nation entière est responsable</w:t>
      </w:r>
      <w:r w:rsidR="00FF4E08" w:rsidRPr="00EB2911">
        <w:rPr>
          <w:rFonts w:cs="Calibri"/>
        </w:rPr>
        <w:t> »</w:t>
      </w:r>
      <w:r w:rsidRPr="00EB2911">
        <w:rPr>
          <w:rFonts w:cs="Calibri"/>
        </w:rPr>
        <w:t xml:space="preserve"> et doit être </w:t>
      </w:r>
      <w:r w:rsidR="00FF4E08" w:rsidRPr="00EB2911">
        <w:rPr>
          <w:rFonts w:cs="Calibri"/>
        </w:rPr>
        <w:t>« </w:t>
      </w:r>
      <w:r w:rsidRPr="00EB2911">
        <w:rPr>
          <w:rFonts w:cs="Calibri"/>
        </w:rPr>
        <w:t>combattue jusqu’à lui briser l’échine</w:t>
      </w:r>
      <w:r w:rsidR="00FF4E08" w:rsidRPr="00EB2911">
        <w:rPr>
          <w:rFonts w:cs="Calibri"/>
        </w:rPr>
        <w:t> »</w:t>
      </w:r>
      <w:r w:rsidR="00AD368D" w:rsidRPr="00EB2911">
        <w:rPr>
          <w:rFonts w:cs="Calibri"/>
        </w:rPr>
        <w:t> </w:t>
      </w:r>
      <w:r w:rsidRPr="00EB2911">
        <w:rPr>
          <w:rFonts w:cs="Calibri"/>
        </w:rPr>
        <w:t xml:space="preserve">; le ministre de la Défense indiquant qu’il n’y aurait plus </w:t>
      </w:r>
      <w:r w:rsidR="00FF4E08" w:rsidRPr="00EB2911">
        <w:rPr>
          <w:rFonts w:cs="Calibri"/>
        </w:rPr>
        <w:t>« </w:t>
      </w:r>
      <w:r w:rsidRPr="00EB2911">
        <w:rPr>
          <w:rFonts w:cs="Calibri"/>
        </w:rPr>
        <w:t>ni électricité, ni nourriture, ni eau, ni essence</w:t>
      </w:r>
      <w:r w:rsidR="00FF4E08" w:rsidRPr="00EB2911">
        <w:rPr>
          <w:rFonts w:cs="Calibri"/>
        </w:rPr>
        <w:t> »</w:t>
      </w:r>
      <w:r w:rsidRPr="00EB2911">
        <w:rPr>
          <w:rFonts w:cs="Calibri"/>
        </w:rPr>
        <w:t xml:space="preserve">, car il s’agit d’une guerre </w:t>
      </w:r>
      <w:r w:rsidR="00FF4E08" w:rsidRPr="00EB2911">
        <w:rPr>
          <w:rFonts w:cs="Calibri"/>
        </w:rPr>
        <w:t>« </w:t>
      </w:r>
      <w:r w:rsidRPr="00EB2911">
        <w:rPr>
          <w:rFonts w:cs="Calibri"/>
        </w:rPr>
        <w:t>contre des animaux humains</w:t>
      </w:r>
      <w:r w:rsidR="00FF4E08" w:rsidRPr="00EB2911">
        <w:rPr>
          <w:rFonts w:cs="Calibri"/>
        </w:rPr>
        <w:t> »</w:t>
      </w:r>
      <w:r w:rsidRPr="00EB2911">
        <w:rPr>
          <w:rFonts w:cs="Calibri"/>
        </w:rPr>
        <w:t xml:space="preserve"> et il faut </w:t>
      </w:r>
      <w:r w:rsidR="00FF4E08" w:rsidRPr="00EB2911">
        <w:rPr>
          <w:rFonts w:cs="Calibri"/>
        </w:rPr>
        <w:t>« </w:t>
      </w:r>
      <w:r w:rsidRPr="00EB2911">
        <w:rPr>
          <w:rFonts w:cs="Calibri"/>
        </w:rPr>
        <w:t>agir en conséquence</w:t>
      </w:r>
      <w:r w:rsidR="00FF4E08" w:rsidRPr="00EB2911">
        <w:rPr>
          <w:rFonts w:cs="Calibri"/>
        </w:rPr>
        <w:t> »</w:t>
      </w:r>
      <w:r w:rsidRPr="00EB2911">
        <w:rPr>
          <w:rFonts w:cs="Calibri"/>
        </w:rPr>
        <w:t xml:space="preserve">; le ministre de la Sécurité nationale précisant que lorsqu’on dit que </w:t>
      </w:r>
      <w:r w:rsidR="00FF4E08" w:rsidRPr="00EB2911">
        <w:rPr>
          <w:rFonts w:cs="Calibri"/>
        </w:rPr>
        <w:t>« </w:t>
      </w:r>
      <w:r w:rsidRPr="00EB2911">
        <w:rPr>
          <w:rFonts w:cs="Calibri"/>
        </w:rPr>
        <w:t>le Hamas doit être détruit, cela signifie aussi ceux qui célèbrent et ceux qui soutiennent</w:t>
      </w:r>
      <w:r w:rsidR="00FF4E08" w:rsidRPr="00EB2911">
        <w:rPr>
          <w:rFonts w:cs="Calibri"/>
        </w:rPr>
        <w:t> »</w:t>
      </w:r>
      <w:r w:rsidRPr="00EB2911">
        <w:rPr>
          <w:rFonts w:cs="Calibri"/>
        </w:rPr>
        <w:t xml:space="preserve"> son action, car</w:t>
      </w:r>
      <w:r w:rsidR="00AC12BF" w:rsidRPr="00EB2911">
        <w:rPr>
          <w:rFonts w:cs="Calibri"/>
        </w:rPr>
        <w:t xml:space="preserve"> </w:t>
      </w:r>
      <w:r w:rsidR="00FF4E08" w:rsidRPr="00EB2911">
        <w:rPr>
          <w:rFonts w:cs="Calibri"/>
        </w:rPr>
        <w:t xml:space="preserve">« ils sont tous des terroristes et doivent aussi être détruits » ; le ministre de l’Énergie et des Infrastructures proclamant qu’ils « ne recevront pas une goutte d’eau jusqu’à ce qu’ils quittent le monde » ; le vice-président de la Knesset annonçant un « but commun : éliminer la bande de Gaza de la face de la Terre »; un major général réserviste expliquant qu’il faut </w:t>
      </w:r>
      <w:r w:rsidR="00FF4E08" w:rsidRPr="00EB2911">
        <w:rPr>
          <w:rFonts w:cs="Calibri"/>
        </w:rPr>
        <w:lastRenderedPageBreak/>
        <w:t>« faire de Gaza un endroit où il est impossible de vivre » et « dire aux gens qu’ils n’ont que deux choix : rester et mourir d’inanition, ou bien partir » (2).</w:t>
      </w:r>
    </w:p>
    <w:p w14:paraId="5D6DD488" w14:textId="77777777" w:rsidR="00AC12BF" w:rsidRPr="00EB2911" w:rsidRDefault="00AC12BF" w:rsidP="001D50D4">
      <w:pPr>
        <w:rPr>
          <w:rFonts w:cs="Calibri"/>
        </w:rPr>
      </w:pPr>
    </w:p>
    <w:p w14:paraId="77F4517C" w14:textId="3AC93AB2" w:rsidR="00E567BB" w:rsidRPr="00EB2911" w:rsidRDefault="00000000" w:rsidP="001D50D4">
      <w:pPr>
        <w:rPr>
          <w:rFonts w:cs="Calibri"/>
        </w:rPr>
      </w:pPr>
      <w:r w:rsidRPr="00EB2911">
        <w:rPr>
          <w:rFonts w:cs="Calibri"/>
        </w:rPr>
        <w:t xml:space="preserve">Ce sont encore des dizaines de citations de parlementaires, de journalistes, de soldats qui répètent qu’il n’y a </w:t>
      </w:r>
      <w:r w:rsidR="00FF4E08" w:rsidRPr="00EB2911">
        <w:rPr>
          <w:rFonts w:cs="Calibri"/>
        </w:rPr>
        <w:t>« </w:t>
      </w:r>
      <w:r w:rsidRPr="00EB2911">
        <w:rPr>
          <w:rFonts w:cs="Calibri"/>
        </w:rPr>
        <w:t>pas d’innocents</w:t>
      </w:r>
      <w:r w:rsidR="00FF4E08" w:rsidRPr="00EB2911">
        <w:rPr>
          <w:rFonts w:cs="Calibri"/>
        </w:rPr>
        <w:t> »</w:t>
      </w:r>
      <w:r w:rsidRPr="00EB2911">
        <w:rPr>
          <w:rFonts w:cs="Calibri"/>
        </w:rPr>
        <w:t xml:space="preserve"> et </w:t>
      </w:r>
      <w:r w:rsidR="00FF4E08" w:rsidRPr="00EB2911">
        <w:rPr>
          <w:rFonts w:cs="Calibri"/>
        </w:rPr>
        <w:t>« </w:t>
      </w:r>
      <w:r w:rsidRPr="00EB2911">
        <w:rPr>
          <w:rFonts w:cs="Calibri"/>
        </w:rPr>
        <w:t>pas de place pour des gestes humanitaires</w:t>
      </w:r>
      <w:r w:rsidR="00FF4E08" w:rsidRPr="00EB2911">
        <w:rPr>
          <w:rFonts w:cs="Calibri"/>
        </w:rPr>
        <w:t> »</w:t>
      </w:r>
      <w:r w:rsidRPr="00EB2911">
        <w:rPr>
          <w:rFonts w:cs="Calibri"/>
        </w:rPr>
        <w:t xml:space="preserve">. Ainsi que l’observe l’avocat et anthropologue états-unien </w:t>
      </w:r>
      <w:proofErr w:type="spellStart"/>
      <w:r w:rsidRPr="00EB2911">
        <w:rPr>
          <w:rFonts w:cs="Calibri"/>
        </w:rPr>
        <w:t>Darry</w:t>
      </w:r>
      <w:proofErr w:type="spellEnd"/>
      <w:r w:rsidRPr="00EB2911">
        <w:rPr>
          <w:rFonts w:cs="Calibri"/>
        </w:rPr>
        <w:t xml:space="preserve"> Li, la force du cas présenté par l’Afrique du Sud tient à cette </w:t>
      </w:r>
      <w:r w:rsidR="00FF4E08" w:rsidRPr="00EB2911">
        <w:rPr>
          <w:rFonts w:cs="Calibri"/>
        </w:rPr>
        <w:t>« </w:t>
      </w:r>
      <w:r w:rsidRPr="00EB2911">
        <w:rPr>
          <w:rFonts w:cs="Calibri"/>
        </w:rPr>
        <w:t>méticuleuse reconstitution de l’intention génocidaire (3)</w:t>
      </w:r>
      <w:r w:rsidR="00FF4E08" w:rsidRPr="00EB2911">
        <w:rPr>
          <w:rFonts w:cs="Calibri"/>
        </w:rPr>
        <w:t> »</w:t>
      </w:r>
      <w:r w:rsidRPr="00EB2911">
        <w:rPr>
          <w:rFonts w:cs="Calibri"/>
        </w:rPr>
        <w:t>.</w:t>
      </w:r>
      <w:r w:rsidR="008B3101" w:rsidRPr="00EB2911">
        <w:rPr>
          <w:rStyle w:val="Appelnotedebasdep"/>
          <w:rFonts w:cs="Calibri"/>
        </w:rPr>
        <w:footnoteReference w:id="8"/>
      </w:r>
    </w:p>
    <w:p w14:paraId="0250DE10" w14:textId="77777777" w:rsidR="00AC12BF" w:rsidRPr="00EB2911" w:rsidRDefault="00AC12BF" w:rsidP="001D50D4">
      <w:pPr>
        <w:rPr>
          <w:rFonts w:cs="Calibri"/>
        </w:rPr>
      </w:pPr>
    </w:p>
    <w:p w14:paraId="72E6FC07" w14:textId="77777777" w:rsidR="00E567BB" w:rsidRPr="00EB2911" w:rsidRDefault="00000000" w:rsidP="008B3101">
      <w:pPr>
        <w:pStyle w:val="Paragraphedeliste"/>
        <w:numPr>
          <w:ilvl w:val="0"/>
          <w:numId w:val="23"/>
        </w:numPr>
        <w:rPr>
          <w:rFonts w:cs="Calibri"/>
          <w:lang w:val="en-US"/>
        </w:rPr>
      </w:pPr>
      <w:r w:rsidRPr="00EB2911">
        <w:rPr>
          <w:rFonts w:cs="Calibri"/>
          <w:lang w:val="en-US"/>
        </w:rPr>
        <w:t xml:space="preserve">Raz Segal, “A textbook case of genocide”, </w:t>
      </w:r>
      <w:r w:rsidRPr="00EB2911">
        <w:rPr>
          <w:rFonts w:cs="Calibri"/>
          <w:i/>
          <w:lang w:val="en-US"/>
        </w:rPr>
        <w:t>Jewish Currents</w:t>
      </w:r>
      <w:r w:rsidRPr="00EB2911">
        <w:rPr>
          <w:rFonts w:cs="Calibri"/>
          <w:lang w:val="en-US"/>
        </w:rPr>
        <w:t xml:space="preserve">, 13 </w:t>
      </w:r>
      <w:proofErr w:type="spellStart"/>
      <w:r w:rsidRPr="00EB2911">
        <w:rPr>
          <w:rFonts w:cs="Calibri"/>
          <w:lang w:val="en-US"/>
        </w:rPr>
        <w:t>octobre</w:t>
      </w:r>
      <w:proofErr w:type="spellEnd"/>
      <w:r w:rsidRPr="00EB2911">
        <w:rPr>
          <w:rFonts w:cs="Calibri"/>
          <w:lang w:val="en-US"/>
        </w:rPr>
        <w:t xml:space="preserve"> 2023.</w:t>
      </w:r>
    </w:p>
    <w:p w14:paraId="225F8DA8" w14:textId="43C39096" w:rsidR="00E567BB" w:rsidRPr="00EB2911" w:rsidRDefault="00000000" w:rsidP="008B3101">
      <w:pPr>
        <w:pStyle w:val="Paragraphedeliste"/>
        <w:numPr>
          <w:ilvl w:val="0"/>
          <w:numId w:val="23"/>
        </w:numPr>
        <w:rPr>
          <w:rFonts w:cs="Calibri"/>
        </w:rPr>
      </w:pPr>
      <w:r w:rsidRPr="00EB2911">
        <w:rPr>
          <w:rFonts w:cs="Calibri"/>
        </w:rPr>
        <w:t xml:space="preserve">Toutes les références de ces citations sont dans : Republic of </w:t>
      </w:r>
      <w:proofErr w:type="spellStart"/>
      <w:r w:rsidRPr="00EB2911">
        <w:rPr>
          <w:rFonts w:cs="Calibri"/>
        </w:rPr>
        <w:t>south</w:t>
      </w:r>
      <w:proofErr w:type="spellEnd"/>
      <w:r w:rsidRPr="00EB2911">
        <w:rPr>
          <w:rFonts w:cs="Calibri"/>
        </w:rPr>
        <w:t xml:space="preserve"> </w:t>
      </w:r>
      <w:proofErr w:type="spellStart"/>
      <w:r w:rsidRPr="00EB2911">
        <w:rPr>
          <w:rFonts w:cs="Calibri"/>
        </w:rPr>
        <w:t>Africa</w:t>
      </w:r>
      <w:proofErr w:type="spellEnd"/>
      <w:r w:rsidRPr="00EB2911">
        <w:rPr>
          <w:rFonts w:cs="Calibri"/>
        </w:rPr>
        <w:t xml:space="preserve">, </w:t>
      </w:r>
      <w:r w:rsidR="00FF4E08" w:rsidRPr="00EB2911">
        <w:rPr>
          <w:rFonts w:cs="Calibri"/>
        </w:rPr>
        <w:t>« </w:t>
      </w:r>
      <w:r w:rsidRPr="00EB2911">
        <w:rPr>
          <w:rFonts w:cs="Calibri"/>
        </w:rPr>
        <w:t xml:space="preserve">Application </w:t>
      </w:r>
      <w:proofErr w:type="spellStart"/>
      <w:r w:rsidRPr="00EB2911">
        <w:rPr>
          <w:rFonts w:cs="Calibri"/>
        </w:rPr>
        <w:t>instituting</w:t>
      </w:r>
      <w:proofErr w:type="spellEnd"/>
      <w:r w:rsidRPr="00EB2911">
        <w:rPr>
          <w:rFonts w:cs="Calibri"/>
        </w:rPr>
        <w:t xml:space="preserve"> </w:t>
      </w:r>
      <w:proofErr w:type="spellStart"/>
      <w:r w:rsidRPr="00EB2911">
        <w:rPr>
          <w:rFonts w:cs="Calibri"/>
        </w:rPr>
        <w:t>proceedings</w:t>
      </w:r>
      <w:proofErr w:type="spellEnd"/>
      <w:r w:rsidR="00FF4E08" w:rsidRPr="00EB2911">
        <w:rPr>
          <w:rFonts w:cs="Calibri"/>
        </w:rPr>
        <w:t> »</w:t>
      </w:r>
      <w:r w:rsidRPr="00EB2911">
        <w:rPr>
          <w:rFonts w:cs="Calibri"/>
        </w:rPr>
        <w:t xml:space="preserve">, </w:t>
      </w:r>
      <w:r w:rsidRPr="00EB2911">
        <w:rPr>
          <w:rFonts w:cs="Calibri"/>
          <w:i/>
          <w:iCs/>
        </w:rPr>
        <w:t>ICJ</w:t>
      </w:r>
      <w:r w:rsidRPr="00EB2911">
        <w:rPr>
          <w:rFonts w:cs="Calibri"/>
        </w:rPr>
        <w:t>, 29 décembre 2023.</w:t>
      </w:r>
    </w:p>
    <w:p w14:paraId="46CA3C46" w14:textId="6814AA4C" w:rsidR="00E567BB" w:rsidRPr="00EB2911" w:rsidRDefault="00000000" w:rsidP="008B3101">
      <w:pPr>
        <w:pStyle w:val="Paragraphedeliste"/>
        <w:numPr>
          <w:ilvl w:val="0"/>
          <w:numId w:val="23"/>
        </w:numPr>
        <w:rPr>
          <w:rFonts w:cs="Calibri"/>
        </w:rPr>
      </w:pPr>
      <w:r w:rsidRPr="00EB2911">
        <w:rPr>
          <w:rFonts w:cs="Calibri"/>
        </w:rPr>
        <w:t xml:space="preserve">Darryl Li, </w:t>
      </w:r>
      <w:r w:rsidR="00FF4E08" w:rsidRPr="00EB2911">
        <w:rPr>
          <w:rFonts w:cs="Calibri"/>
        </w:rPr>
        <w:t>« </w:t>
      </w:r>
      <w:r w:rsidRPr="00EB2911">
        <w:rPr>
          <w:rFonts w:cs="Calibri"/>
        </w:rPr>
        <w:t xml:space="preserve">The charge of </w:t>
      </w:r>
      <w:proofErr w:type="spellStart"/>
      <w:r w:rsidRPr="00EB2911">
        <w:rPr>
          <w:rFonts w:cs="Calibri"/>
        </w:rPr>
        <w:t>genocide</w:t>
      </w:r>
      <w:proofErr w:type="spellEnd"/>
      <w:r w:rsidRPr="00EB2911">
        <w:rPr>
          <w:rFonts w:cs="Calibri"/>
        </w:rPr>
        <w:t xml:space="preserve">”, </w:t>
      </w:r>
      <w:r w:rsidRPr="00EB2911">
        <w:rPr>
          <w:rFonts w:cs="Calibri"/>
          <w:i/>
          <w:iCs/>
        </w:rPr>
        <w:t>Dissent Magazine</w:t>
      </w:r>
      <w:r w:rsidRPr="00EB2911">
        <w:rPr>
          <w:rFonts w:cs="Calibri"/>
        </w:rPr>
        <w:t>, 18 janvier 2024.</w:t>
      </w:r>
    </w:p>
    <w:p w14:paraId="1220573C" w14:textId="77777777" w:rsidR="00E723A7" w:rsidRPr="00EB2911" w:rsidRDefault="00E723A7" w:rsidP="00E723A7">
      <w:pPr>
        <w:rPr>
          <w:rFonts w:cs="Calibri"/>
        </w:rPr>
      </w:pPr>
    </w:p>
    <w:p w14:paraId="7DBF4BE5" w14:textId="77777777" w:rsidR="00E723A7" w:rsidRPr="00EB2911" w:rsidRDefault="00E723A7" w:rsidP="00E723A7">
      <w:pPr>
        <w:jc w:val="center"/>
        <w:rPr>
          <w:rFonts w:cs="Calibri"/>
          <w:lang w:val="fr-CA"/>
        </w:rPr>
      </w:pPr>
      <w:r w:rsidRPr="00EB2911">
        <w:rPr>
          <w:rFonts w:cs="Calibri"/>
          <w:lang w:val="fr-CA"/>
        </w:rPr>
        <w:t>- o - o - o -</w:t>
      </w:r>
    </w:p>
    <w:p w14:paraId="5AA15D7D" w14:textId="77777777" w:rsidR="00AC12BF" w:rsidRPr="00EB2911" w:rsidRDefault="00AC12BF" w:rsidP="001D50D4">
      <w:pPr>
        <w:rPr>
          <w:rFonts w:cs="Calibri"/>
        </w:rPr>
      </w:pPr>
    </w:p>
    <w:p w14:paraId="62E64EF1" w14:textId="5D42EB83" w:rsidR="00E567BB" w:rsidRPr="00EB2911" w:rsidRDefault="00E723A7" w:rsidP="00E723A7">
      <w:pPr>
        <w:pStyle w:val="Titre1"/>
      </w:pPr>
      <w:bookmarkStart w:id="8" w:name="_Toc199350666"/>
      <w:r w:rsidRPr="00EB2911">
        <w:t>Quand les persécutés deviennent persécuteurs</w:t>
      </w:r>
      <w:bookmarkEnd w:id="8"/>
    </w:p>
    <w:p w14:paraId="3D3D0160" w14:textId="45E91ED9" w:rsidR="00E567BB" w:rsidRPr="00EB2911" w:rsidRDefault="00000000" w:rsidP="001D50D4">
      <w:pPr>
        <w:rPr>
          <w:rFonts w:cs="Calibri"/>
        </w:rPr>
      </w:pPr>
      <w:r w:rsidRPr="00EB2911">
        <w:rPr>
          <w:rFonts w:cs="Calibri"/>
        </w:rPr>
        <w:t xml:space="preserve">La </w:t>
      </w:r>
      <w:proofErr w:type="spellStart"/>
      <w:r w:rsidRPr="00EB2911">
        <w:rPr>
          <w:rFonts w:cs="Calibri"/>
        </w:rPr>
        <w:t>rapporteure</w:t>
      </w:r>
      <w:proofErr w:type="spellEnd"/>
      <w:r w:rsidRPr="00EB2911">
        <w:rPr>
          <w:rFonts w:cs="Calibri"/>
        </w:rPr>
        <w:t xml:space="preserve"> spéciale des Nations unies sur la situation des droits humains dans les Territoires palestiniens occupés, Francesca Albanese, n’a guère de doute concernant la </w:t>
      </w:r>
      <w:proofErr w:type="spellStart"/>
      <w:r w:rsidRPr="00EB2911">
        <w:rPr>
          <w:rFonts w:cs="Calibri"/>
        </w:rPr>
        <w:t>qulification</w:t>
      </w:r>
      <w:proofErr w:type="spellEnd"/>
      <w:r w:rsidRPr="00EB2911">
        <w:rPr>
          <w:rFonts w:cs="Calibri"/>
        </w:rPr>
        <w:t xml:space="preserve"> des faits. Son rapport, présenté le 25 mars, s’intitule </w:t>
      </w:r>
      <w:proofErr w:type="spellStart"/>
      <w:r w:rsidRPr="00EB2911">
        <w:rPr>
          <w:rFonts w:cs="Calibri"/>
          <w:i/>
        </w:rPr>
        <w:t>Anatomy</w:t>
      </w:r>
      <w:proofErr w:type="spellEnd"/>
      <w:r w:rsidRPr="00EB2911">
        <w:rPr>
          <w:rFonts w:cs="Calibri"/>
          <w:i/>
        </w:rPr>
        <w:t xml:space="preserve"> of a </w:t>
      </w:r>
      <w:proofErr w:type="spellStart"/>
      <w:r w:rsidRPr="00EB2911">
        <w:rPr>
          <w:rFonts w:cs="Calibri"/>
          <w:i/>
        </w:rPr>
        <w:t>genocide</w:t>
      </w:r>
      <w:proofErr w:type="spellEnd"/>
      <w:r w:rsidRPr="00EB2911">
        <w:rPr>
          <w:rFonts w:cs="Calibri"/>
          <w:i/>
        </w:rPr>
        <w:t xml:space="preserve"> </w:t>
      </w:r>
      <w:r w:rsidRPr="00EB2911">
        <w:rPr>
          <w:rFonts w:cs="Calibri"/>
        </w:rPr>
        <w:t>(1). Elle rapporte en 25</w:t>
      </w:r>
      <w:r w:rsidR="00342897" w:rsidRPr="00EB2911">
        <w:rPr>
          <w:rFonts w:cs="Calibri"/>
        </w:rPr>
        <w:t xml:space="preserve"> </w:t>
      </w:r>
      <w:r w:rsidRPr="00EB2911">
        <w:rPr>
          <w:rFonts w:cs="Calibri"/>
        </w:rPr>
        <w:t xml:space="preserve">pages denses et 309 références les éléments justifiant son titre. Pour autant, l’officialisation éventuelle de cette qualification n’interviendra qu’au terme d’un processus judiciaire long et difficile. Mais quel que soit l’issue de ce processus dans lequel les rapports de force entre les pays peuvent s’avérer plus déterminants que le droit international, l’évocation d’un génocide commis par un État qui a été fondé par les Nations unies en réparation du plus grand génocide jamais perpétré est une question éminemment sensible. </w:t>
      </w:r>
      <w:r w:rsidR="00FF4E08" w:rsidRPr="00EB2911">
        <w:rPr>
          <w:rFonts w:cs="Calibri"/>
        </w:rPr>
        <w:t>« </w:t>
      </w:r>
      <w:r w:rsidRPr="00EB2911">
        <w:rPr>
          <w:rFonts w:cs="Calibri"/>
        </w:rPr>
        <w:t>C’est une leçon tragique de l’histoire, déplore le sociologue Edgar Morin : les descendants d’un peuple persécuté pendant des siècles par l’Occident chrétien, puis raciste, peuvent devenir à la fois les persécuteurs et le bastion avancé de l’Occident dans le monde arabe (2)</w:t>
      </w:r>
      <w:r w:rsidR="00FF4E08" w:rsidRPr="00EB2911">
        <w:rPr>
          <w:rFonts w:cs="Calibri"/>
        </w:rPr>
        <w:t> »</w:t>
      </w:r>
      <w:r w:rsidRPr="00EB2911">
        <w:rPr>
          <w:rFonts w:cs="Calibri"/>
        </w:rPr>
        <w:t>. On comprend, dans ces conditions, la résistance opposée par les Israéliens et leurs alliés à cette qualification.</w:t>
      </w:r>
      <w:r w:rsidR="002423FF" w:rsidRPr="00EB2911">
        <w:rPr>
          <w:rStyle w:val="Appelnotedebasdep"/>
          <w:rFonts w:cs="Calibri"/>
        </w:rPr>
        <w:footnoteReference w:id="9"/>
      </w:r>
    </w:p>
    <w:p w14:paraId="401F994F" w14:textId="77777777" w:rsidR="000C53E0" w:rsidRPr="00EB2911" w:rsidRDefault="000C53E0" w:rsidP="001D50D4">
      <w:pPr>
        <w:rPr>
          <w:rFonts w:cs="Calibri"/>
        </w:rPr>
      </w:pPr>
    </w:p>
    <w:p w14:paraId="210283D7" w14:textId="77777777" w:rsidR="00AC12BF" w:rsidRPr="00EB2911" w:rsidRDefault="00AC12BF" w:rsidP="001D50D4">
      <w:pPr>
        <w:rPr>
          <w:rFonts w:cs="Calibri"/>
        </w:rPr>
      </w:pPr>
    </w:p>
    <w:p w14:paraId="686A95BE" w14:textId="411AD1C8" w:rsidR="00E567BB" w:rsidRPr="00EB2911" w:rsidRDefault="00000000" w:rsidP="006136FF">
      <w:pPr>
        <w:pStyle w:val="Paragraphedeliste"/>
        <w:numPr>
          <w:ilvl w:val="0"/>
          <w:numId w:val="25"/>
        </w:numPr>
        <w:rPr>
          <w:rFonts w:cs="Calibri"/>
          <w:lang w:val="en-US"/>
        </w:rPr>
      </w:pPr>
      <w:r w:rsidRPr="00EB2911">
        <w:rPr>
          <w:rFonts w:cs="Calibri"/>
          <w:lang w:val="en-US"/>
        </w:rPr>
        <w:t xml:space="preserve">Human Right Council, Anatomy of a Genocide: Report of the Special Rapporteur on the Situation of Human Rights in the Palestinian Territories Occupied Since 1967, </w:t>
      </w:r>
      <w:r w:rsidRPr="00EB2911">
        <w:rPr>
          <w:rFonts w:cs="Calibri"/>
          <w:i/>
          <w:iCs/>
          <w:lang w:val="en-US"/>
        </w:rPr>
        <w:t>United Nations</w:t>
      </w:r>
      <w:r w:rsidRPr="00EB2911">
        <w:rPr>
          <w:rFonts w:cs="Calibri"/>
          <w:lang w:val="en-US"/>
        </w:rPr>
        <w:t>, 25 mars 2024</w:t>
      </w:r>
    </w:p>
    <w:p w14:paraId="5BFF7A01" w14:textId="5E45C774" w:rsidR="00E567BB" w:rsidRPr="00EB2911" w:rsidRDefault="00000000" w:rsidP="006136FF">
      <w:pPr>
        <w:pStyle w:val="Paragraphedeliste"/>
        <w:numPr>
          <w:ilvl w:val="0"/>
          <w:numId w:val="25"/>
        </w:numPr>
        <w:rPr>
          <w:rFonts w:cs="Calibri"/>
        </w:rPr>
      </w:pPr>
      <w:r w:rsidRPr="00EB2911">
        <w:rPr>
          <w:rFonts w:cs="Calibri"/>
        </w:rPr>
        <w:t>Edgar Morin, “Le progrès des connaissances a suscité une régression de la pensée</w:t>
      </w:r>
      <w:r w:rsidR="00FF4E08" w:rsidRPr="00EB2911">
        <w:rPr>
          <w:rFonts w:cs="Calibri"/>
        </w:rPr>
        <w:t> »</w:t>
      </w:r>
      <w:r w:rsidRPr="00EB2911">
        <w:rPr>
          <w:rFonts w:cs="Calibri"/>
        </w:rPr>
        <w:t xml:space="preserve">, </w:t>
      </w:r>
      <w:r w:rsidRPr="00EB2911">
        <w:rPr>
          <w:rFonts w:cs="Calibri"/>
          <w:i/>
          <w:iCs/>
        </w:rPr>
        <w:t>Le Monde</w:t>
      </w:r>
      <w:r w:rsidRPr="00EB2911">
        <w:rPr>
          <w:rFonts w:cs="Calibri"/>
        </w:rPr>
        <w:t>, 22 janvier 2024</w:t>
      </w:r>
    </w:p>
    <w:p w14:paraId="6B51EF7B" w14:textId="77777777" w:rsidR="00E723A7" w:rsidRPr="00EB2911" w:rsidRDefault="00E723A7" w:rsidP="00E723A7">
      <w:pPr>
        <w:rPr>
          <w:rFonts w:cs="Calibri"/>
        </w:rPr>
      </w:pPr>
    </w:p>
    <w:p w14:paraId="415D3B4B" w14:textId="77777777" w:rsidR="00E723A7" w:rsidRPr="00EB2911" w:rsidRDefault="00E723A7" w:rsidP="00E723A7">
      <w:pPr>
        <w:jc w:val="center"/>
        <w:rPr>
          <w:rFonts w:cs="Calibri"/>
          <w:lang w:val="fr-CA"/>
        </w:rPr>
      </w:pPr>
      <w:r w:rsidRPr="00EB2911">
        <w:rPr>
          <w:rFonts w:cs="Calibri"/>
          <w:lang w:val="fr-CA"/>
        </w:rPr>
        <w:t>- o - o - o -</w:t>
      </w:r>
    </w:p>
    <w:p w14:paraId="4527AD40" w14:textId="77777777" w:rsidR="00E567BB" w:rsidRPr="00EB2911" w:rsidRDefault="00E567BB" w:rsidP="001D50D4">
      <w:pPr>
        <w:rPr>
          <w:rFonts w:cs="Calibri"/>
        </w:rPr>
      </w:pPr>
    </w:p>
    <w:p w14:paraId="3F20C29B" w14:textId="76AB3822" w:rsidR="003C6E4C" w:rsidRPr="00EB2911" w:rsidRDefault="00000000" w:rsidP="002C1EDD">
      <w:pPr>
        <w:pStyle w:val="Titre1"/>
      </w:pPr>
      <w:bookmarkStart w:id="9" w:name="_Toc199350667"/>
      <w:r w:rsidRPr="00EB2911">
        <w:t>L’opposition des juifs à l’amalgame sionisme et judaïsme</w:t>
      </w:r>
      <w:bookmarkEnd w:id="9"/>
    </w:p>
    <w:p w14:paraId="1FCC1C9A" w14:textId="103D2BF1" w:rsidR="00E567BB" w:rsidRPr="00EB2911" w:rsidRDefault="00000000" w:rsidP="001D50D4">
      <w:pPr>
        <w:rPr>
          <w:rFonts w:cs="Calibri"/>
        </w:rPr>
      </w:pPr>
      <w:r w:rsidRPr="00EB2911">
        <w:rPr>
          <w:rFonts w:cs="Calibri"/>
        </w:rPr>
        <w:t xml:space="preserve">C’est contre cette évolution que la Déclaration de Jérusalem sur l’antisémitisme signée par 350 universitaires internationaux spécialistes des études juives a proposé en 2020 une définition plus précise et des lignes directrices moins problématiques, considérant notamment comme n’étant pas </w:t>
      </w:r>
      <w:r w:rsidRPr="00EB2911">
        <w:rPr>
          <w:rFonts w:cs="Calibri"/>
        </w:rPr>
        <w:lastRenderedPageBreak/>
        <w:t xml:space="preserve">antisémite le fait de </w:t>
      </w:r>
      <w:r w:rsidR="00FF4E08" w:rsidRPr="00EB2911">
        <w:rPr>
          <w:rFonts w:cs="Calibri"/>
        </w:rPr>
        <w:t>« </w:t>
      </w:r>
      <w:r w:rsidRPr="00EB2911">
        <w:rPr>
          <w:rFonts w:cs="Calibri"/>
        </w:rPr>
        <w:t>soutenir l’exigence de justice du peuple palestinien et la recherche de l’obtention de l’intégralité de ses droits</w:t>
      </w:r>
      <w:r w:rsidR="00FF4E08" w:rsidRPr="00EB2911">
        <w:rPr>
          <w:rFonts w:cs="Calibri"/>
        </w:rPr>
        <w:t> »</w:t>
      </w:r>
      <w:r w:rsidRPr="00EB2911">
        <w:rPr>
          <w:rFonts w:cs="Calibri"/>
        </w:rPr>
        <w:t xml:space="preserve">, de </w:t>
      </w:r>
      <w:r w:rsidR="00FF4E08" w:rsidRPr="00EB2911">
        <w:rPr>
          <w:rFonts w:cs="Calibri"/>
        </w:rPr>
        <w:t>« </w:t>
      </w:r>
      <w:r w:rsidRPr="00EB2911">
        <w:rPr>
          <w:rFonts w:cs="Calibri"/>
        </w:rPr>
        <w:t>critiquer le sionisme ou s’y opposer, en tant que forme de nationalisme</w:t>
      </w:r>
      <w:r w:rsidR="00FF4E08" w:rsidRPr="00EB2911">
        <w:rPr>
          <w:rFonts w:cs="Calibri"/>
        </w:rPr>
        <w:t> »</w:t>
      </w:r>
      <w:r w:rsidRPr="00EB2911">
        <w:rPr>
          <w:rFonts w:cs="Calibri"/>
        </w:rPr>
        <w:t xml:space="preserve">, d’établir </w:t>
      </w:r>
      <w:r w:rsidR="00FF4E08" w:rsidRPr="00EB2911">
        <w:rPr>
          <w:rFonts w:cs="Calibri"/>
        </w:rPr>
        <w:t>« </w:t>
      </w:r>
      <w:r w:rsidRPr="00EB2911">
        <w:rPr>
          <w:rFonts w:cs="Calibri"/>
        </w:rPr>
        <w:t>des parallèles entre la situation d’aujourd’hui en Israël et d’autres contextes historiques, y compris de colonisation de peuplement ou d’apartheid</w:t>
      </w:r>
      <w:r w:rsidR="00FF4E08" w:rsidRPr="00EB2911">
        <w:rPr>
          <w:rFonts w:cs="Calibri"/>
        </w:rPr>
        <w:t> »</w:t>
      </w:r>
      <w:r w:rsidRPr="00EB2911">
        <w:rPr>
          <w:rFonts w:cs="Calibri"/>
        </w:rPr>
        <w:t xml:space="preserve">, et de défendre </w:t>
      </w:r>
      <w:r w:rsidR="00FF4E08" w:rsidRPr="00EB2911">
        <w:rPr>
          <w:rFonts w:cs="Calibri"/>
        </w:rPr>
        <w:t>« </w:t>
      </w:r>
      <w:r w:rsidRPr="00EB2911">
        <w:rPr>
          <w:rFonts w:cs="Calibri"/>
        </w:rPr>
        <w:t>des mesures de boycott, de désinvestissement et de sanctions qui constituent des formes répandues et non violentes de lutte politique contre des États (1)</w:t>
      </w:r>
      <w:r w:rsidR="00FF4E08" w:rsidRPr="00EB2911">
        <w:rPr>
          <w:rFonts w:cs="Calibri"/>
        </w:rPr>
        <w:t> »</w:t>
      </w:r>
      <w:r w:rsidRPr="00EB2911">
        <w:rPr>
          <w:rFonts w:cs="Calibri"/>
        </w:rPr>
        <w:t>.</w:t>
      </w:r>
      <w:r w:rsidR="00175992" w:rsidRPr="00EB2911">
        <w:rPr>
          <w:rStyle w:val="Appelnotedebasdep"/>
          <w:rFonts w:cs="Calibri"/>
        </w:rPr>
        <w:footnoteReference w:id="10"/>
      </w:r>
    </w:p>
    <w:p w14:paraId="2E53F521" w14:textId="77777777" w:rsidR="0092390B" w:rsidRPr="00EB2911" w:rsidRDefault="0092390B" w:rsidP="001D50D4">
      <w:pPr>
        <w:rPr>
          <w:rFonts w:cs="Calibri"/>
        </w:rPr>
      </w:pPr>
    </w:p>
    <w:p w14:paraId="7471F8D0" w14:textId="45B0AEB9" w:rsidR="00E567BB" w:rsidRPr="00EB2911" w:rsidRDefault="00FF4E08" w:rsidP="002C1EDD">
      <w:pPr>
        <w:pStyle w:val="Paragraphedeliste"/>
        <w:numPr>
          <w:ilvl w:val="0"/>
          <w:numId w:val="26"/>
        </w:numPr>
        <w:rPr>
          <w:rFonts w:cs="Calibri"/>
          <w:lang w:val="en-US"/>
        </w:rPr>
      </w:pPr>
      <w:r w:rsidRPr="00EB2911">
        <w:rPr>
          <w:rFonts w:cs="Calibri"/>
          <w:lang w:val="en-US"/>
        </w:rPr>
        <w:t>« The Jerusalem Declaration on antisemitism »</w:t>
      </w:r>
    </w:p>
    <w:p w14:paraId="5CBDF80D" w14:textId="77777777" w:rsidR="00F847EF" w:rsidRPr="00363F0F" w:rsidRDefault="00F847EF" w:rsidP="00F847EF">
      <w:pPr>
        <w:rPr>
          <w:rFonts w:cs="Calibri"/>
          <w:lang w:val="en-US"/>
        </w:rPr>
      </w:pPr>
    </w:p>
    <w:p w14:paraId="7EE1FE2F" w14:textId="77777777" w:rsidR="00F847EF" w:rsidRPr="00EB2911" w:rsidRDefault="00F847EF" w:rsidP="00F847EF">
      <w:pPr>
        <w:jc w:val="center"/>
        <w:rPr>
          <w:rFonts w:cs="Calibri"/>
          <w:lang w:val="fr-CA"/>
        </w:rPr>
      </w:pPr>
      <w:r w:rsidRPr="00EB2911">
        <w:rPr>
          <w:rFonts w:cs="Calibri"/>
          <w:lang w:val="fr-CA"/>
        </w:rPr>
        <w:t>- o - o - o -</w:t>
      </w:r>
    </w:p>
    <w:p w14:paraId="1C6111A9" w14:textId="77777777" w:rsidR="00E567BB" w:rsidRPr="00EB2911" w:rsidRDefault="00E567BB" w:rsidP="001D50D4">
      <w:pPr>
        <w:rPr>
          <w:rFonts w:cs="Calibri"/>
        </w:rPr>
      </w:pPr>
    </w:p>
    <w:p w14:paraId="4FEFDB49" w14:textId="21955548" w:rsidR="003C6E4C" w:rsidRPr="00EB2911" w:rsidRDefault="00000000" w:rsidP="00BD279D">
      <w:pPr>
        <w:pStyle w:val="Titre1"/>
      </w:pPr>
      <w:bookmarkStart w:id="10" w:name="_Toc199350668"/>
      <w:r w:rsidRPr="00EB2911">
        <w:t>Amalgame entre antisémitisme et antisionisme</w:t>
      </w:r>
      <w:bookmarkEnd w:id="10"/>
    </w:p>
    <w:p w14:paraId="3CBA7A2C" w14:textId="301C5527" w:rsidR="00E567BB" w:rsidRPr="00EB2911" w:rsidRDefault="00000000" w:rsidP="001D50D4">
      <w:pPr>
        <w:rPr>
          <w:rFonts w:cs="Calibri"/>
          <w:lang w:val="fr-CA"/>
        </w:rPr>
      </w:pPr>
      <w:r w:rsidRPr="00EB2911">
        <w:rPr>
          <w:rFonts w:cs="Calibri"/>
        </w:rPr>
        <w:t>La confusion entre critique de la politique israélienne, voire critique du sionisme, et antisémitisme n’en demeure pas moins la règle de la part des gouvernements, des médias public et des institutions académiques occidentaux, ce qui aboutit au paradoxe démocratique</w:t>
      </w:r>
      <w:r w:rsidR="00BD279D" w:rsidRPr="00EB2911">
        <w:rPr>
          <w:rFonts w:cs="Calibri"/>
        </w:rPr>
        <w:t xml:space="preserve"> </w:t>
      </w:r>
      <w:r w:rsidRPr="00EB2911">
        <w:rPr>
          <w:rFonts w:cs="Calibri"/>
        </w:rPr>
        <w:t xml:space="preserve">selon lequel critiquer un gouvernement composé de ministres d’extrême droite, promoteur d’un suprémacisme religieux, auteur de lois discriminatoires, rejetant le droit international et commettant des massacres de populations civiles, expose à se trouver soi-même accusé d’iniquité (1). </w:t>
      </w:r>
      <w:r w:rsidRPr="00EB2911">
        <w:rPr>
          <w:rFonts w:cs="Calibri"/>
          <w:lang w:val="fr-CA"/>
        </w:rPr>
        <w:t>La France a depuis longtemps entériné cette confusion.</w:t>
      </w:r>
      <w:r w:rsidR="00D51B2C" w:rsidRPr="00EB2911">
        <w:rPr>
          <w:rStyle w:val="Appelnotedebasdep"/>
          <w:rFonts w:cs="Calibri"/>
          <w:lang w:val="fr-CA"/>
        </w:rPr>
        <w:footnoteReference w:id="11"/>
      </w:r>
    </w:p>
    <w:p w14:paraId="5689D34F" w14:textId="77777777" w:rsidR="000C53E0" w:rsidRPr="00EB2911" w:rsidRDefault="000C53E0" w:rsidP="001D50D4">
      <w:pPr>
        <w:rPr>
          <w:rFonts w:cs="Calibri"/>
        </w:rPr>
      </w:pPr>
    </w:p>
    <w:p w14:paraId="58EDBDD4" w14:textId="79791B45" w:rsidR="00E567BB" w:rsidRPr="00EB2911" w:rsidRDefault="00000000" w:rsidP="00AD368D">
      <w:pPr>
        <w:pStyle w:val="Paragraphedeliste"/>
        <w:numPr>
          <w:ilvl w:val="0"/>
          <w:numId w:val="27"/>
        </w:numPr>
        <w:rPr>
          <w:rFonts w:cs="Calibri"/>
          <w:lang w:val="en-US"/>
        </w:rPr>
      </w:pPr>
      <w:r w:rsidRPr="00EB2911">
        <w:rPr>
          <w:rFonts w:cs="Calibri"/>
          <w:lang w:val="en-US"/>
        </w:rPr>
        <w:t xml:space="preserve">Kennan Malik, </w:t>
      </w:r>
      <w:r w:rsidR="00FF4E08" w:rsidRPr="00EB2911">
        <w:rPr>
          <w:rFonts w:cs="Calibri"/>
          <w:lang w:val="en-US"/>
        </w:rPr>
        <w:t>« </w:t>
      </w:r>
      <w:r w:rsidRPr="00EB2911">
        <w:rPr>
          <w:rFonts w:cs="Calibri"/>
          <w:lang w:val="en-US"/>
        </w:rPr>
        <w:t xml:space="preserve">Solidarity with Palestinians is not </w:t>
      </w:r>
      <w:proofErr w:type="gramStart"/>
      <w:r w:rsidRPr="00EB2911">
        <w:rPr>
          <w:rFonts w:cs="Calibri"/>
          <w:lang w:val="en-US"/>
        </w:rPr>
        <w:t>hate</w:t>
      </w:r>
      <w:proofErr w:type="gramEnd"/>
      <w:r w:rsidRPr="00EB2911">
        <w:rPr>
          <w:rFonts w:cs="Calibri"/>
          <w:lang w:val="en-US"/>
        </w:rPr>
        <w:t xml:space="preserve"> speech, whatever would-be </w:t>
      </w:r>
      <w:proofErr w:type="spellStart"/>
      <w:r w:rsidRPr="00EB2911">
        <w:rPr>
          <w:rFonts w:cs="Calibri"/>
          <w:lang w:val="en-US"/>
        </w:rPr>
        <w:t>consors</w:t>
      </w:r>
      <w:proofErr w:type="spellEnd"/>
      <w:r w:rsidRPr="00EB2911">
        <w:rPr>
          <w:rFonts w:cs="Calibri"/>
          <w:lang w:val="en-US"/>
        </w:rPr>
        <w:t xml:space="preserve"> may say</w:t>
      </w:r>
      <w:r w:rsidR="00FF4E08" w:rsidRPr="00EB2911">
        <w:rPr>
          <w:rFonts w:cs="Calibri"/>
          <w:lang w:val="en-US"/>
        </w:rPr>
        <w:t> »</w:t>
      </w:r>
      <w:r w:rsidRPr="00EB2911">
        <w:rPr>
          <w:rFonts w:cs="Calibri"/>
          <w:lang w:val="en-US"/>
        </w:rPr>
        <w:t xml:space="preserve">, </w:t>
      </w:r>
      <w:r w:rsidRPr="00EB2911">
        <w:rPr>
          <w:rFonts w:cs="Calibri"/>
          <w:i/>
          <w:iCs/>
          <w:lang w:val="en-US"/>
        </w:rPr>
        <w:t>The Guardian</w:t>
      </w:r>
      <w:r w:rsidRPr="00EB2911">
        <w:rPr>
          <w:rFonts w:cs="Calibri"/>
          <w:lang w:val="en-US"/>
        </w:rPr>
        <w:t xml:space="preserve">, 3 </w:t>
      </w:r>
      <w:proofErr w:type="spellStart"/>
      <w:r w:rsidRPr="00EB2911">
        <w:rPr>
          <w:rFonts w:cs="Calibri"/>
          <w:lang w:val="en-US"/>
        </w:rPr>
        <w:t>décembre</w:t>
      </w:r>
      <w:proofErr w:type="spellEnd"/>
      <w:r w:rsidRPr="00EB2911">
        <w:rPr>
          <w:rFonts w:cs="Calibri"/>
          <w:lang w:val="en-US"/>
        </w:rPr>
        <w:t xml:space="preserve"> 2023.</w:t>
      </w:r>
    </w:p>
    <w:p w14:paraId="6470C88B" w14:textId="77777777" w:rsidR="00F847EF" w:rsidRPr="00363F0F" w:rsidRDefault="00F847EF" w:rsidP="00F847EF">
      <w:pPr>
        <w:rPr>
          <w:rFonts w:cs="Calibri"/>
          <w:lang w:val="en-US"/>
        </w:rPr>
      </w:pPr>
    </w:p>
    <w:p w14:paraId="55CA57C2" w14:textId="77777777" w:rsidR="00F847EF" w:rsidRPr="00EB2911" w:rsidRDefault="00F847EF" w:rsidP="00F847EF">
      <w:pPr>
        <w:jc w:val="center"/>
        <w:rPr>
          <w:rFonts w:cs="Calibri"/>
          <w:lang w:val="fr-CA"/>
        </w:rPr>
      </w:pPr>
      <w:r w:rsidRPr="00EB2911">
        <w:rPr>
          <w:rFonts w:cs="Calibri"/>
          <w:lang w:val="fr-CA"/>
        </w:rPr>
        <w:t>- o - o - o -</w:t>
      </w:r>
    </w:p>
    <w:p w14:paraId="7DD7C570" w14:textId="77777777" w:rsidR="00E567BB" w:rsidRPr="00EB2911" w:rsidRDefault="00E567BB" w:rsidP="001D50D4">
      <w:pPr>
        <w:rPr>
          <w:rFonts w:cs="Calibri"/>
        </w:rPr>
      </w:pPr>
    </w:p>
    <w:p w14:paraId="3A914F81" w14:textId="78F57867" w:rsidR="003C6E4C" w:rsidRPr="00EB2911" w:rsidRDefault="00000000" w:rsidP="007C5868">
      <w:pPr>
        <w:pStyle w:val="Titre1"/>
      </w:pPr>
      <w:bookmarkStart w:id="11" w:name="_Toc199350669"/>
      <w:r w:rsidRPr="00EB2911">
        <w:t>La partialité de l’information</w:t>
      </w:r>
      <w:bookmarkEnd w:id="11"/>
    </w:p>
    <w:p w14:paraId="59ACF83A" w14:textId="53F19389" w:rsidR="00E567BB" w:rsidRPr="00EB2911" w:rsidRDefault="00000000" w:rsidP="001D50D4">
      <w:pPr>
        <w:rPr>
          <w:rFonts w:cs="Calibri"/>
        </w:rPr>
      </w:pPr>
      <w:r w:rsidRPr="00EB2911">
        <w:rPr>
          <w:rFonts w:cs="Calibri"/>
        </w:rPr>
        <w:t xml:space="preserve">Comme l’analyse l’association </w:t>
      </w:r>
      <w:proofErr w:type="spellStart"/>
      <w:r w:rsidRPr="00EB2911">
        <w:rPr>
          <w:rFonts w:cs="Calibri"/>
        </w:rPr>
        <w:t>Acrimed</w:t>
      </w:r>
      <w:proofErr w:type="spellEnd"/>
      <w:r w:rsidRPr="00EB2911">
        <w:rPr>
          <w:rFonts w:cs="Calibri"/>
        </w:rPr>
        <w:t>, les principaux médias français ont manifesté une</w:t>
      </w:r>
      <w:r w:rsidR="007C5868" w:rsidRPr="00EB2911">
        <w:rPr>
          <w:rFonts w:cs="Calibri"/>
        </w:rPr>
        <w:t xml:space="preserve"> </w:t>
      </w:r>
      <w:r w:rsidR="00FF4E08" w:rsidRPr="00EB2911">
        <w:rPr>
          <w:rFonts w:cs="Calibri"/>
        </w:rPr>
        <w:t xml:space="preserve">« compassion sélective (1) ». Ils ont rapporté les récits des otages israéliens libérés se plaignant d’avoir souffert de la faim pendant leur captivité dans Gaza assiégée sans mentionner l’origine de la pénurie alimentaire dont ils souffraient, mais ils n’ont pas évoqué les civils palestiniens relâchés des prisons et des camps d’Israël après y avoir été humiliés et torturés. Ils ont rendu compte des peurs des écoliers israéliens près de la frontière avec le Liban, obligés de se réfugier dans des abris lorsque retentissent les sirènes, mais n’ont pas fait état des angoisses des enfants palestiniens de Gaza, qui ne disposent d’aucun lieu où se protéger des bombes qui détruisent des quartiers entiers. Ils ont interrogé des surfeurs israéliens sur la plage de Tel Aviv expliquant que cette activité apaise leur anxiété après l’envoi de drones et de missiles par l’Iran, mais ils se sont contentés d’une phrase pour rappeler simplement le nombre des morts palestiniens à Gaza, sans faire partager l’expérience des femmes qui ne peuvent plus allaiter et des enfants qui n'ont plus à manger (2). Nombre de médias ont ainsi choisi d’humaniser les Israéliens plutôt que les Palestiniens. Ainsi, ont-ils longuement rendu compte du « succès » de l’opération militaire visant à délivrer quatre Israéliens détenus dans un camp de réfugiés, le 8 juin 2024, et des manifestations de « joie » lors de leur accueil à Tel Aviv, en mentionnant simplement en fin de reportage le coût humain de l’intervention parmi les Palestiniens : 274 morts, dont 64 enfants et 57 femmes, et 700 blessés. </w:t>
      </w:r>
      <w:r w:rsidR="00FF4E08" w:rsidRPr="00EB2911">
        <w:rPr>
          <w:rFonts w:cs="Calibri"/>
        </w:rPr>
        <w:lastRenderedPageBreak/>
        <w:t xml:space="preserve">Dans les médias officiels, on parlait de « libération des otages »; dans les médias indépendants, l’épisode est connu comme le « Massacre de </w:t>
      </w:r>
      <w:proofErr w:type="spellStart"/>
      <w:r w:rsidR="00FF4E08" w:rsidRPr="00EB2911">
        <w:rPr>
          <w:rFonts w:cs="Calibri"/>
        </w:rPr>
        <w:t>Nuiseirat</w:t>
      </w:r>
      <w:proofErr w:type="spellEnd"/>
      <w:r w:rsidR="00FF4E08" w:rsidRPr="00EB2911">
        <w:rPr>
          <w:rFonts w:cs="Calibri"/>
        </w:rPr>
        <w:t xml:space="preserve"> (3) ».</w:t>
      </w:r>
      <w:r w:rsidR="0092390B" w:rsidRPr="00EB2911">
        <w:rPr>
          <w:rStyle w:val="Appelnotedebasdep"/>
          <w:rFonts w:cs="Calibri"/>
        </w:rPr>
        <w:footnoteReference w:id="12"/>
      </w:r>
    </w:p>
    <w:p w14:paraId="30456A41" w14:textId="77777777" w:rsidR="00641AF2" w:rsidRPr="00EB2911" w:rsidRDefault="00641AF2" w:rsidP="001D50D4">
      <w:pPr>
        <w:rPr>
          <w:rFonts w:cs="Calibri"/>
        </w:rPr>
      </w:pPr>
    </w:p>
    <w:p w14:paraId="5BBBB4D1" w14:textId="72D1CA96" w:rsidR="00E567BB" w:rsidRPr="00EB2911" w:rsidRDefault="00000000" w:rsidP="00641AF2">
      <w:pPr>
        <w:pStyle w:val="Paragraphedeliste"/>
        <w:numPr>
          <w:ilvl w:val="0"/>
          <w:numId w:val="28"/>
        </w:numPr>
        <w:rPr>
          <w:rFonts w:cs="Calibri"/>
        </w:rPr>
      </w:pPr>
      <w:r w:rsidRPr="00EB2911">
        <w:rPr>
          <w:rFonts w:cs="Calibri"/>
        </w:rPr>
        <w:t xml:space="preserve">ACRIMED, </w:t>
      </w:r>
      <w:r w:rsidR="00FF4E08" w:rsidRPr="00EB2911">
        <w:rPr>
          <w:rFonts w:cs="Calibri"/>
        </w:rPr>
        <w:t>« </w:t>
      </w:r>
      <w:r w:rsidRPr="00EB2911">
        <w:rPr>
          <w:rFonts w:cs="Calibri"/>
        </w:rPr>
        <w:t>Naufrage et asphyxie du débat public</w:t>
      </w:r>
      <w:r w:rsidR="00FF4E08" w:rsidRPr="00EB2911">
        <w:rPr>
          <w:rFonts w:cs="Calibri"/>
        </w:rPr>
        <w:t> »</w:t>
      </w:r>
      <w:r w:rsidRPr="00EB2911">
        <w:rPr>
          <w:rFonts w:cs="Calibri"/>
        </w:rPr>
        <w:t xml:space="preserve">, 20 décembre 2023, et BLAST, </w:t>
      </w:r>
      <w:r w:rsidR="00FF4E08" w:rsidRPr="00EB2911">
        <w:rPr>
          <w:rFonts w:cs="Calibri"/>
        </w:rPr>
        <w:t>« </w:t>
      </w:r>
      <w:r w:rsidRPr="00EB2911">
        <w:rPr>
          <w:rFonts w:cs="Calibri"/>
        </w:rPr>
        <w:t>Un naufrage médiatique sans précédent</w:t>
      </w:r>
      <w:r w:rsidR="00FF4E08" w:rsidRPr="00EB2911">
        <w:rPr>
          <w:rFonts w:cs="Calibri"/>
        </w:rPr>
        <w:t> »</w:t>
      </w:r>
      <w:r w:rsidRPr="00EB2911">
        <w:rPr>
          <w:rFonts w:cs="Calibri"/>
        </w:rPr>
        <w:t>, 31 mars 2024.</w:t>
      </w:r>
    </w:p>
    <w:p w14:paraId="4B149768" w14:textId="77777777" w:rsidR="00E567BB" w:rsidRPr="00EB2911" w:rsidRDefault="00000000" w:rsidP="00641AF2">
      <w:pPr>
        <w:pStyle w:val="Paragraphedeliste"/>
        <w:numPr>
          <w:ilvl w:val="0"/>
          <w:numId w:val="28"/>
        </w:numPr>
        <w:rPr>
          <w:rFonts w:cs="Calibri"/>
        </w:rPr>
      </w:pPr>
      <w:r w:rsidRPr="00EB2911">
        <w:rPr>
          <w:rFonts w:cs="Calibri"/>
        </w:rPr>
        <w:t xml:space="preserve">Extraits de journaux quotidiens d’une radio nationale, évoqués à titre d’illustration d’un </w:t>
      </w:r>
      <w:proofErr w:type="spellStart"/>
      <w:r w:rsidRPr="00EB2911">
        <w:rPr>
          <w:rFonts w:cs="Calibri"/>
        </w:rPr>
        <w:t>faut</w:t>
      </w:r>
      <w:proofErr w:type="spellEnd"/>
      <w:r w:rsidRPr="00EB2911">
        <w:rPr>
          <w:rFonts w:cs="Calibri"/>
        </w:rPr>
        <w:t xml:space="preserve"> général. Il est vrai que la plupart des correspondants permanents et des envoyés spéciaux se trouvent à Jérusalem ou Tel Aviv. Mais imaginerait-on un seul instant n’avoir d’information sur l’invasion de l’Ukraine par la Russie et ses conséquences pour la population qu’en utilisant les seules sources officielles du régime de Moscou?</w:t>
      </w:r>
    </w:p>
    <w:p w14:paraId="5CD91F2F" w14:textId="636EE038" w:rsidR="00E567BB" w:rsidRPr="00EB2911" w:rsidRDefault="00000000" w:rsidP="00641AF2">
      <w:pPr>
        <w:pStyle w:val="Paragraphedeliste"/>
        <w:numPr>
          <w:ilvl w:val="0"/>
          <w:numId w:val="28"/>
        </w:numPr>
        <w:rPr>
          <w:rFonts w:cs="Calibri"/>
        </w:rPr>
      </w:pPr>
      <w:proofErr w:type="spellStart"/>
      <w:r w:rsidRPr="00EB2911">
        <w:rPr>
          <w:rFonts w:cs="Calibri"/>
          <w:lang w:val="en-US"/>
        </w:rPr>
        <w:t>Shrouq</w:t>
      </w:r>
      <w:proofErr w:type="spellEnd"/>
      <w:r w:rsidRPr="00EB2911">
        <w:rPr>
          <w:rFonts w:cs="Calibri"/>
          <w:lang w:val="en-US"/>
        </w:rPr>
        <w:t xml:space="preserve"> </w:t>
      </w:r>
      <w:proofErr w:type="spellStart"/>
      <w:r w:rsidRPr="00EB2911">
        <w:rPr>
          <w:rFonts w:cs="Calibri"/>
          <w:lang w:val="en-US"/>
        </w:rPr>
        <w:t>Aïla</w:t>
      </w:r>
      <w:proofErr w:type="spellEnd"/>
      <w:r w:rsidRPr="00EB2911">
        <w:rPr>
          <w:rFonts w:cs="Calibri"/>
          <w:lang w:val="en-US"/>
        </w:rPr>
        <w:t xml:space="preserve">, </w:t>
      </w:r>
      <w:r w:rsidR="00FF4E08" w:rsidRPr="00EB2911">
        <w:rPr>
          <w:rFonts w:cs="Calibri"/>
          <w:lang w:val="en-US"/>
        </w:rPr>
        <w:t>« </w:t>
      </w:r>
      <w:r w:rsidRPr="00EB2911">
        <w:rPr>
          <w:rFonts w:cs="Calibri"/>
          <w:lang w:val="en-US"/>
        </w:rPr>
        <w:t xml:space="preserve">Inside the </w:t>
      </w:r>
      <w:proofErr w:type="spellStart"/>
      <w:r w:rsidRPr="00EB2911">
        <w:rPr>
          <w:rFonts w:cs="Calibri"/>
          <w:lang w:val="en-US"/>
        </w:rPr>
        <w:t>Nuiseirat</w:t>
      </w:r>
      <w:proofErr w:type="spellEnd"/>
      <w:r w:rsidRPr="00EB2911">
        <w:rPr>
          <w:rFonts w:cs="Calibri"/>
          <w:lang w:val="en-US"/>
        </w:rPr>
        <w:t xml:space="preserve"> massacre: this carnage I saw during Israel’s hostage rescue”, The Intercept, 10 </w:t>
      </w:r>
      <w:proofErr w:type="spellStart"/>
      <w:r w:rsidRPr="00EB2911">
        <w:rPr>
          <w:rFonts w:cs="Calibri"/>
          <w:lang w:val="en-US"/>
        </w:rPr>
        <w:t>juin</w:t>
      </w:r>
      <w:proofErr w:type="spellEnd"/>
      <w:r w:rsidRPr="00EB2911">
        <w:rPr>
          <w:rFonts w:cs="Calibri"/>
          <w:lang w:val="en-US"/>
        </w:rPr>
        <w:t xml:space="preserve"> </w:t>
      </w:r>
      <w:proofErr w:type="gramStart"/>
      <w:r w:rsidRPr="00EB2911">
        <w:rPr>
          <w:rFonts w:cs="Calibri"/>
          <w:lang w:val="en-US"/>
        </w:rPr>
        <w:t>2024 ;</w:t>
      </w:r>
      <w:proofErr w:type="gramEnd"/>
      <w:r w:rsidRPr="00EB2911">
        <w:rPr>
          <w:rFonts w:cs="Calibri"/>
          <w:lang w:val="en-US"/>
        </w:rPr>
        <w:t xml:space="preserve"> Gideon Levy, “Why did Israel conceal hundreds of Gazans’ deaths in “perfect” hostage rescue operation?”, Haaretz, 12 </w:t>
      </w:r>
      <w:proofErr w:type="spellStart"/>
      <w:r w:rsidRPr="00EB2911">
        <w:rPr>
          <w:rFonts w:cs="Calibri"/>
          <w:lang w:val="en-US"/>
        </w:rPr>
        <w:t>juin</w:t>
      </w:r>
      <w:proofErr w:type="spellEnd"/>
      <w:r w:rsidRPr="00EB2911">
        <w:rPr>
          <w:rFonts w:cs="Calibri"/>
          <w:lang w:val="en-US"/>
        </w:rPr>
        <w:t xml:space="preserve"> 2024. </w:t>
      </w:r>
      <w:r w:rsidRPr="00EB2911">
        <w:rPr>
          <w:rFonts w:cs="Calibri"/>
        </w:rPr>
        <w:t>Au</w:t>
      </w:r>
      <w:r w:rsidR="00641AF2" w:rsidRPr="00EB2911">
        <w:rPr>
          <w:rFonts w:cs="Calibri"/>
        </w:rPr>
        <w:t xml:space="preserve"> </w:t>
      </w:r>
      <w:r w:rsidRPr="00EB2911">
        <w:rPr>
          <w:rFonts w:cs="Calibri"/>
        </w:rPr>
        <w:t>lendemain de l’attaque, le journal d’une radio nationale consacrait vingt-quatre fois plus de temps à l’information heureuse côté israéliens qu’à la réalité tragique côté palestinien pourtant déjà connu. Parallèlement, les présidents états-uniens et français se réjouissaient de la libération des quatre otages israéliens, sans un mot pour les centaines de victimes civiles palestiniennes.</w:t>
      </w:r>
    </w:p>
    <w:p w14:paraId="1F5DB42A" w14:textId="77777777" w:rsidR="0092390B" w:rsidRPr="00EB2911" w:rsidRDefault="0092390B" w:rsidP="0092390B">
      <w:pPr>
        <w:rPr>
          <w:rFonts w:cs="Calibri"/>
        </w:rPr>
      </w:pPr>
    </w:p>
    <w:p w14:paraId="68D57ADC" w14:textId="77777777" w:rsidR="0092390B" w:rsidRPr="00EB2911" w:rsidRDefault="0092390B" w:rsidP="0092390B">
      <w:pPr>
        <w:jc w:val="center"/>
        <w:rPr>
          <w:rFonts w:cs="Calibri"/>
          <w:lang w:val="fr-CA"/>
        </w:rPr>
      </w:pPr>
      <w:r w:rsidRPr="00EB2911">
        <w:rPr>
          <w:rFonts w:cs="Calibri"/>
          <w:lang w:val="fr-CA"/>
        </w:rPr>
        <w:t>- o - o - o -</w:t>
      </w:r>
    </w:p>
    <w:p w14:paraId="60D72E53" w14:textId="77777777" w:rsidR="0092390B" w:rsidRPr="00EB2911" w:rsidRDefault="0092390B" w:rsidP="0092390B">
      <w:pPr>
        <w:rPr>
          <w:rFonts w:cs="Calibri"/>
          <w:lang w:val="fr-CA"/>
        </w:rPr>
      </w:pPr>
    </w:p>
    <w:p w14:paraId="3B38EFAD" w14:textId="75F8952D" w:rsidR="00E567BB" w:rsidRPr="00EB2911" w:rsidRDefault="003320E6" w:rsidP="003320E6">
      <w:pPr>
        <w:pStyle w:val="Titre1"/>
      </w:pPr>
      <w:bookmarkStart w:id="12" w:name="_Toc199350670"/>
      <w:r w:rsidRPr="00EB2911">
        <w:t>Instructions aux médias pour réduire l’usage des mots « génocide », « nettoyage ethnique »...</w:t>
      </w:r>
      <w:bookmarkEnd w:id="12"/>
    </w:p>
    <w:p w14:paraId="098331EF" w14:textId="3C2D41D0" w:rsidR="00E567BB" w:rsidRPr="00EB2911" w:rsidRDefault="00000000" w:rsidP="001D50D4">
      <w:pPr>
        <w:rPr>
          <w:rFonts w:cs="Calibri"/>
        </w:rPr>
      </w:pPr>
      <w:r w:rsidRPr="00EB2911">
        <w:rPr>
          <w:rFonts w:cs="Calibri"/>
        </w:rPr>
        <w:t xml:space="preserve">Dans une lettre à leur direction, des journalistes de la BBC déploraient justement le parti pris de la présentation des faits et, en particulier, de la différence dans la manière de donner une dimension humaine au deuil des familles israéliennes mais non à celui des familles palestiniennes (1). On apprenait d’ailleurs que, dans un mémorandum distribué aux journalistes du </w:t>
      </w:r>
      <w:r w:rsidRPr="00EB2911">
        <w:rPr>
          <w:rFonts w:cs="Calibri"/>
          <w:i/>
        </w:rPr>
        <w:t xml:space="preserve">New York Times </w:t>
      </w:r>
      <w:r w:rsidRPr="00EB2911">
        <w:rPr>
          <w:rFonts w:cs="Calibri"/>
        </w:rPr>
        <w:t xml:space="preserve">au début de la guerre, les éditeurs leur demandaient de réduire l’usage des mots </w:t>
      </w:r>
      <w:r w:rsidR="00FF4E08" w:rsidRPr="00EB2911">
        <w:rPr>
          <w:rFonts w:cs="Calibri"/>
        </w:rPr>
        <w:t>« </w:t>
      </w:r>
      <w:r w:rsidRPr="00EB2911">
        <w:rPr>
          <w:rFonts w:cs="Calibri"/>
        </w:rPr>
        <w:t>génocide</w:t>
      </w:r>
      <w:r w:rsidR="00FF4E08" w:rsidRPr="00EB2911">
        <w:rPr>
          <w:rFonts w:cs="Calibri"/>
        </w:rPr>
        <w:t> »</w:t>
      </w:r>
      <w:r w:rsidRPr="00EB2911">
        <w:rPr>
          <w:rFonts w:cs="Calibri"/>
        </w:rPr>
        <w:t xml:space="preserve"> et </w:t>
      </w:r>
      <w:r w:rsidR="00FF4E08" w:rsidRPr="00EB2911">
        <w:rPr>
          <w:rFonts w:cs="Calibri"/>
        </w:rPr>
        <w:t>« </w:t>
      </w:r>
      <w:r w:rsidRPr="00EB2911">
        <w:rPr>
          <w:rFonts w:cs="Calibri"/>
        </w:rPr>
        <w:t>nettoyage ethnique</w:t>
      </w:r>
      <w:r w:rsidR="00FF4E08" w:rsidRPr="00EB2911">
        <w:rPr>
          <w:rFonts w:cs="Calibri"/>
        </w:rPr>
        <w:t> »</w:t>
      </w:r>
      <w:r w:rsidRPr="00EB2911">
        <w:rPr>
          <w:rFonts w:cs="Calibri"/>
        </w:rPr>
        <w:t xml:space="preserve">, de ne pas parler de </w:t>
      </w:r>
      <w:r w:rsidR="00FF4E08" w:rsidRPr="00EB2911">
        <w:rPr>
          <w:rFonts w:cs="Calibri"/>
        </w:rPr>
        <w:t>« </w:t>
      </w:r>
      <w:r w:rsidRPr="00EB2911">
        <w:rPr>
          <w:rFonts w:cs="Calibri"/>
        </w:rPr>
        <w:t>camps de réfugiés</w:t>
      </w:r>
      <w:r w:rsidR="00FF4E08" w:rsidRPr="00EB2911">
        <w:rPr>
          <w:rFonts w:cs="Calibri"/>
        </w:rPr>
        <w:t> »</w:t>
      </w:r>
      <w:r w:rsidRPr="00EB2911">
        <w:rPr>
          <w:rFonts w:cs="Calibri"/>
        </w:rPr>
        <w:t xml:space="preserve">, d’éviter l’expression </w:t>
      </w:r>
      <w:r w:rsidR="00FF4E08" w:rsidRPr="00EB2911">
        <w:rPr>
          <w:rFonts w:cs="Calibri"/>
        </w:rPr>
        <w:t>« </w:t>
      </w:r>
      <w:r w:rsidRPr="00EB2911">
        <w:rPr>
          <w:rFonts w:cs="Calibri"/>
        </w:rPr>
        <w:t>territoires occupés</w:t>
      </w:r>
      <w:r w:rsidR="00FF4E08" w:rsidRPr="00EB2911">
        <w:rPr>
          <w:rFonts w:cs="Calibri"/>
        </w:rPr>
        <w:t> »</w:t>
      </w:r>
      <w:r w:rsidRPr="00EB2911">
        <w:rPr>
          <w:rFonts w:cs="Calibri"/>
        </w:rPr>
        <w:t>, même de ne se référer que le plus rarement possible à la</w:t>
      </w:r>
      <w:r w:rsidR="003320E6" w:rsidRPr="00EB2911">
        <w:rPr>
          <w:rFonts w:cs="Calibri"/>
        </w:rPr>
        <w:t xml:space="preserve"> </w:t>
      </w:r>
      <w:r w:rsidR="00FF4E08" w:rsidRPr="00EB2911">
        <w:rPr>
          <w:rFonts w:cs="Calibri"/>
        </w:rPr>
        <w:t>« Palestine », et ils leur signifiaient également que les mots « massacres » et « tueries », trop</w:t>
      </w:r>
      <w:r w:rsidR="003320E6" w:rsidRPr="00EB2911">
        <w:rPr>
          <w:rFonts w:cs="Calibri"/>
        </w:rPr>
        <w:t xml:space="preserve"> </w:t>
      </w:r>
      <w:r w:rsidR="00FF4E08" w:rsidRPr="00EB2911">
        <w:rPr>
          <w:rFonts w:cs="Calibri"/>
        </w:rPr>
        <w:t>« émotionnels », devaient être remplacés par des descriptions factuelles, consigne qui ne valait toutefois pas pour qualifier l’attaque du 7 octobre (2). De telles instructions étaient probablement communes dans les grands médias états-uniens, car, selon une étude du langage utilisé pour décrire les victimes des deux côtés dans trois des principaux quotidiens du pays, après trois mois de guerre, le mot « horrible » apparaissait neuf fois plus souvent pour parler des morts israéliennes que des morts palestiniennes, le mot « massacre » trente fois plus fréquemment, le mot « tuerie » soixante fois, quant au mot « enfants », dont les victimes, décédées ou mutilées, se comptaient en dizaines de milliers à Gaza, il n’était présent qu’à deux reprises sur 1100 titres de journaux (3). Dès novembre, ils étaient plus de 750 reporters de nombreux organes de presse états-uniens à critiquer la couverture unilatéralement orientée du conflit (4).</w:t>
      </w:r>
      <w:r w:rsidR="0057371C" w:rsidRPr="00EB2911">
        <w:rPr>
          <w:rStyle w:val="Appelnotedebasdep"/>
          <w:rFonts w:cs="Calibri"/>
        </w:rPr>
        <w:footnoteReference w:id="13"/>
      </w:r>
    </w:p>
    <w:p w14:paraId="091F5FC4" w14:textId="0AC7F337" w:rsidR="00E567BB" w:rsidRPr="00EB2911" w:rsidRDefault="00000000" w:rsidP="003320E6">
      <w:pPr>
        <w:pStyle w:val="Paragraphedeliste"/>
        <w:numPr>
          <w:ilvl w:val="0"/>
          <w:numId w:val="29"/>
        </w:numPr>
        <w:rPr>
          <w:rFonts w:cs="Calibri"/>
          <w:lang w:val="en-US"/>
        </w:rPr>
      </w:pPr>
      <w:proofErr w:type="spellStart"/>
      <w:r w:rsidRPr="00EB2911">
        <w:rPr>
          <w:rFonts w:cs="Calibri"/>
          <w:lang w:val="en-US"/>
        </w:rPr>
        <w:t>Inidia</w:t>
      </w:r>
      <w:proofErr w:type="spellEnd"/>
      <w:r w:rsidRPr="00EB2911">
        <w:rPr>
          <w:rFonts w:cs="Calibri"/>
          <w:lang w:val="en-US"/>
        </w:rPr>
        <w:t xml:space="preserve"> McTaggart, </w:t>
      </w:r>
      <w:r w:rsidR="00FF4E08" w:rsidRPr="00EB2911">
        <w:rPr>
          <w:rFonts w:cs="Calibri"/>
          <w:lang w:val="en-US"/>
        </w:rPr>
        <w:t>« </w:t>
      </w:r>
      <w:r w:rsidRPr="00EB2911">
        <w:rPr>
          <w:rFonts w:cs="Calibri"/>
          <w:lang w:val="en-US"/>
        </w:rPr>
        <w:t xml:space="preserve">BBC reporters accuse it of favoritism towards Israel”, </w:t>
      </w:r>
      <w:r w:rsidRPr="00EB2911">
        <w:rPr>
          <w:rFonts w:cs="Calibri"/>
          <w:i/>
          <w:iCs/>
          <w:lang w:val="en-US"/>
        </w:rPr>
        <w:t>The Telegraph</w:t>
      </w:r>
      <w:r w:rsidRPr="00EB2911">
        <w:rPr>
          <w:rFonts w:cs="Calibri"/>
          <w:lang w:val="en-US"/>
        </w:rPr>
        <w:t xml:space="preserve">, 23 </w:t>
      </w:r>
      <w:proofErr w:type="spellStart"/>
      <w:r w:rsidRPr="00EB2911">
        <w:rPr>
          <w:rFonts w:cs="Calibri"/>
          <w:lang w:val="en-US"/>
        </w:rPr>
        <w:t>novembre</w:t>
      </w:r>
      <w:proofErr w:type="spellEnd"/>
      <w:r w:rsidRPr="00EB2911">
        <w:rPr>
          <w:rFonts w:cs="Calibri"/>
          <w:lang w:val="en-US"/>
        </w:rPr>
        <w:t xml:space="preserve"> 2023.</w:t>
      </w:r>
    </w:p>
    <w:p w14:paraId="13A98FB0" w14:textId="4C134369" w:rsidR="00E567BB" w:rsidRPr="00EB2911" w:rsidRDefault="00000000" w:rsidP="003320E6">
      <w:pPr>
        <w:pStyle w:val="Paragraphedeliste"/>
        <w:numPr>
          <w:ilvl w:val="0"/>
          <w:numId w:val="29"/>
        </w:numPr>
        <w:rPr>
          <w:rFonts w:cs="Calibri"/>
          <w:lang w:val="en-US"/>
        </w:rPr>
      </w:pPr>
      <w:r w:rsidRPr="00EB2911">
        <w:rPr>
          <w:rFonts w:cs="Calibri"/>
          <w:lang w:val="en-US"/>
        </w:rPr>
        <w:t xml:space="preserve">Jeremy </w:t>
      </w:r>
      <w:proofErr w:type="spellStart"/>
      <w:r w:rsidRPr="00EB2911">
        <w:rPr>
          <w:rFonts w:cs="Calibri"/>
          <w:lang w:val="en-US"/>
        </w:rPr>
        <w:t>Scahill</w:t>
      </w:r>
      <w:proofErr w:type="spellEnd"/>
      <w:r w:rsidRPr="00EB2911">
        <w:rPr>
          <w:rFonts w:cs="Calibri"/>
          <w:lang w:val="en-US"/>
        </w:rPr>
        <w:t xml:space="preserve">, “Leaked NYT Gaza memo tells journalists to avoid words “genocide”, “ethnic cleansing” and “occupied territories”, </w:t>
      </w:r>
      <w:r w:rsidRPr="00EB2911">
        <w:rPr>
          <w:rFonts w:cs="Calibri"/>
          <w:i/>
          <w:iCs/>
          <w:lang w:val="en-US"/>
        </w:rPr>
        <w:t>The Intercept</w:t>
      </w:r>
      <w:r w:rsidRPr="00EB2911">
        <w:rPr>
          <w:rFonts w:cs="Calibri"/>
          <w:lang w:val="en-US"/>
        </w:rPr>
        <w:t xml:space="preserve">, 15 </w:t>
      </w:r>
      <w:proofErr w:type="spellStart"/>
      <w:r w:rsidRPr="00EB2911">
        <w:rPr>
          <w:rFonts w:cs="Calibri"/>
          <w:lang w:val="en-US"/>
        </w:rPr>
        <w:t>avril</w:t>
      </w:r>
      <w:proofErr w:type="spellEnd"/>
      <w:r w:rsidRPr="00EB2911">
        <w:rPr>
          <w:rFonts w:cs="Calibri"/>
          <w:lang w:val="en-US"/>
        </w:rPr>
        <w:t xml:space="preserve"> 2024.</w:t>
      </w:r>
    </w:p>
    <w:p w14:paraId="6AFA103A" w14:textId="77777777" w:rsidR="00E567BB" w:rsidRPr="00EB2911" w:rsidRDefault="00000000" w:rsidP="003320E6">
      <w:pPr>
        <w:pStyle w:val="Paragraphedeliste"/>
        <w:numPr>
          <w:ilvl w:val="0"/>
          <w:numId w:val="29"/>
        </w:numPr>
        <w:rPr>
          <w:rFonts w:cs="Calibri"/>
          <w:lang w:val="en-US"/>
        </w:rPr>
      </w:pPr>
      <w:r w:rsidRPr="00EB2911">
        <w:rPr>
          <w:rFonts w:cs="Calibri"/>
          <w:lang w:val="en-US"/>
        </w:rPr>
        <w:lastRenderedPageBreak/>
        <w:t xml:space="preserve">Adam Johnson et Othman Ali, “Coverage of Gaza war in the </w:t>
      </w:r>
      <w:r w:rsidRPr="00EB2911">
        <w:rPr>
          <w:rFonts w:cs="Calibri"/>
          <w:i/>
          <w:lang w:val="en-US"/>
        </w:rPr>
        <w:t xml:space="preserve">New York Times </w:t>
      </w:r>
      <w:r w:rsidRPr="00EB2911">
        <w:rPr>
          <w:rFonts w:cs="Calibri"/>
          <w:lang w:val="en-US"/>
        </w:rPr>
        <w:t xml:space="preserve">and other major newspapers heavily favored Israel, analysis shows”, The Intercept, 9 </w:t>
      </w:r>
      <w:proofErr w:type="spellStart"/>
      <w:r w:rsidRPr="00EB2911">
        <w:rPr>
          <w:rFonts w:cs="Calibri"/>
          <w:lang w:val="en-US"/>
        </w:rPr>
        <w:t>janvier</w:t>
      </w:r>
      <w:proofErr w:type="spellEnd"/>
      <w:r w:rsidRPr="00EB2911">
        <w:rPr>
          <w:rFonts w:cs="Calibri"/>
          <w:lang w:val="en-US"/>
        </w:rPr>
        <w:t xml:space="preserve"> 2024.</w:t>
      </w:r>
    </w:p>
    <w:p w14:paraId="164D713E" w14:textId="77777777" w:rsidR="00E567BB" w:rsidRPr="00EB2911" w:rsidRDefault="00000000" w:rsidP="003320E6">
      <w:pPr>
        <w:pStyle w:val="Paragraphedeliste"/>
        <w:numPr>
          <w:ilvl w:val="0"/>
          <w:numId w:val="29"/>
        </w:numPr>
        <w:rPr>
          <w:rFonts w:cs="Calibri"/>
          <w:lang w:val="en-US"/>
        </w:rPr>
      </w:pPr>
      <w:r w:rsidRPr="00EB2911">
        <w:rPr>
          <w:rFonts w:cs="Calibri"/>
          <w:lang w:val="en-US"/>
        </w:rPr>
        <w:t xml:space="preserve">Laura Wagner et Will Sommer, “Hundreds of journalists sign letter protesting coverage of Israel”, </w:t>
      </w:r>
      <w:r w:rsidRPr="00EB2911">
        <w:rPr>
          <w:rFonts w:cs="Calibri"/>
          <w:i/>
          <w:lang w:val="en-US"/>
        </w:rPr>
        <w:t>The Washington Post</w:t>
      </w:r>
      <w:r w:rsidRPr="00EB2911">
        <w:rPr>
          <w:rFonts w:cs="Calibri"/>
          <w:lang w:val="en-US"/>
        </w:rPr>
        <w:t xml:space="preserve">, 9 </w:t>
      </w:r>
      <w:proofErr w:type="spellStart"/>
      <w:r w:rsidRPr="00EB2911">
        <w:rPr>
          <w:rFonts w:cs="Calibri"/>
          <w:lang w:val="en-US"/>
        </w:rPr>
        <w:t>novembre</w:t>
      </w:r>
      <w:proofErr w:type="spellEnd"/>
      <w:r w:rsidRPr="00EB2911">
        <w:rPr>
          <w:rFonts w:cs="Calibri"/>
          <w:lang w:val="en-US"/>
        </w:rPr>
        <w:t xml:space="preserve"> 2023.</w:t>
      </w:r>
    </w:p>
    <w:p w14:paraId="18986AAD" w14:textId="77777777" w:rsidR="0057371C" w:rsidRPr="00363F0F" w:rsidRDefault="0057371C" w:rsidP="0057371C">
      <w:pPr>
        <w:rPr>
          <w:rFonts w:cs="Calibri"/>
          <w:lang w:val="en-US"/>
        </w:rPr>
      </w:pPr>
    </w:p>
    <w:p w14:paraId="2A4132EC" w14:textId="77777777" w:rsidR="0057371C" w:rsidRPr="00363F0F" w:rsidRDefault="0057371C" w:rsidP="0057371C">
      <w:pPr>
        <w:jc w:val="center"/>
        <w:rPr>
          <w:rFonts w:cs="Calibri"/>
          <w:lang w:val="fr-CA"/>
        </w:rPr>
      </w:pPr>
      <w:r w:rsidRPr="00363F0F">
        <w:rPr>
          <w:rFonts w:cs="Calibri"/>
          <w:lang w:val="fr-CA"/>
        </w:rPr>
        <w:t>- o - o - o -</w:t>
      </w:r>
    </w:p>
    <w:p w14:paraId="224B4F2E" w14:textId="77777777" w:rsidR="0057371C" w:rsidRPr="00363F0F" w:rsidRDefault="0057371C" w:rsidP="0057371C">
      <w:pPr>
        <w:rPr>
          <w:rFonts w:cs="Calibri"/>
          <w:lang w:val="fr-CA"/>
        </w:rPr>
      </w:pPr>
    </w:p>
    <w:p w14:paraId="0346D4BD" w14:textId="7F5D92E6" w:rsidR="00E567BB" w:rsidRPr="00EB2911" w:rsidRDefault="00EB2911" w:rsidP="00EB2911">
      <w:pPr>
        <w:pStyle w:val="Titre1"/>
      </w:pPr>
      <w:bookmarkStart w:id="13" w:name="_Toc199350671"/>
      <w:r w:rsidRPr="00EB2911">
        <w:t>Mise au pas des intellectuels occidentaux</w:t>
      </w:r>
      <w:bookmarkEnd w:id="13"/>
    </w:p>
    <w:p w14:paraId="53DCD077" w14:textId="0A8A2C06" w:rsidR="00E567BB" w:rsidRPr="00EB2911" w:rsidRDefault="00000000" w:rsidP="001D50D4">
      <w:pPr>
        <w:rPr>
          <w:rFonts w:cs="Calibri"/>
        </w:rPr>
      </w:pPr>
      <w:r w:rsidRPr="00EB2911">
        <w:rPr>
          <w:rFonts w:cs="Calibri"/>
        </w:rPr>
        <w:t xml:space="preserve">L’acquiescement à la guerre à Gaza et à ses conséquences tragiques rend pour longtemps illégitime et inopérante l’invocation des droits humains et de la raison humanitaire par celles et ceux qui ont participé à cette abdication morale, même s’il faut reconnaitre que leur </w:t>
      </w:r>
      <w:r w:rsidR="00FF4E08" w:rsidRPr="00EB2911">
        <w:rPr>
          <w:rFonts w:cs="Calibri"/>
        </w:rPr>
        <w:t>« </w:t>
      </w:r>
      <w:r w:rsidRPr="00EB2911">
        <w:rPr>
          <w:rFonts w:cs="Calibri"/>
        </w:rPr>
        <w:t>deux poids, deux mesures</w:t>
      </w:r>
      <w:r w:rsidR="00FF4E08" w:rsidRPr="00EB2911">
        <w:rPr>
          <w:rFonts w:cs="Calibri"/>
        </w:rPr>
        <w:t> »</w:t>
      </w:r>
      <w:r w:rsidRPr="00EB2911">
        <w:rPr>
          <w:rFonts w:cs="Calibri"/>
        </w:rPr>
        <w:t>, sur bien des terrains, y compris dans leurs propres pays, leur a depuis longtemps fait perdre tout crédit dans ce domaine. Le monde occidental – ou tout au moins la majorité de ses gouvernants et de ses institutions – aura apporté son soutien presque inconditionnel non seulement à l’élimination d’une large part de la population palestinienne, et notamment de la génération qui en représente l’espoir et l’avenir, mais aussi à l’effacement de tout ce qui fait l’âme d’un peuple, ses écoles, ses bibliothèques, ses librairies, ses musées, ses cimetières, ses édifices religieux, ses monuments historiques, ses centres culturels. Il l’aura fait en s’efforçant de réduire au silence, par l’intimidation, la stigmatisation et les sanctions, les chercheurs, les intellectuels, les étudiants, les artistes, les militants, les politiciens et, plus largement, les citoyens qui refusaient d’être associés à ce crime imprescriptible, tandis que, de son côté, l’armée israélienne faisait taire, en les éliminant, les universitaires, les jou</w:t>
      </w:r>
      <w:r w:rsidR="0024677A" w:rsidRPr="00EB2911">
        <w:rPr>
          <w:rFonts w:cs="Calibri"/>
        </w:rPr>
        <w:t>r</w:t>
      </w:r>
      <w:r w:rsidRPr="00EB2911">
        <w:rPr>
          <w:rFonts w:cs="Calibri"/>
        </w:rPr>
        <w:t>nalistes, les écrivains, les poètes, les médecins et les humanitaires palestiniens (1).</w:t>
      </w:r>
      <w:r w:rsidR="0024677A" w:rsidRPr="00EB2911">
        <w:rPr>
          <w:rStyle w:val="Appelnotedebasdep"/>
          <w:rFonts w:cs="Calibri"/>
        </w:rPr>
        <w:footnoteReference w:id="14"/>
      </w:r>
    </w:p>
    <w:p w14:paraId="57EAC39E" w14:textId="77777777" w:rsidR="0024677A" w:rsidRPr="00EB2911" w:rsidRDefault="0024677A" w:rsidP="001D50D4">
      <w:pPr>
        <w:rPr>
          <w:rFonts w:cs="Calibri"/>
        </w:rPr>
      </w:pPr>
    </w:p>
    <w:p w14:paraId="59364A15" w14:textId="4540A4C3" w:rsidR="00E567BB" w:rsidRPr="00EB2911" w:rsidRDefault="00000000" w:rsidP="0024677A">
      <w:pPr>
        <w:pStyle w:val="Paragraphedeliste"/>
        <w:numPr>
          <w:ilvl w:val="0"/>
          <w:numId w:val="30"/>
        </w:numPr>
        <w:rPr>
          <w:rFonts w:cs="Calibri"/>
          <w:lang w:val="en-US"/>
        </w:rPr>
      </w:pPr>
      <w:proofErr w:type="spellStart"/>
      <w:r w:rsidRPr="00EB2911">
        <w:rPr>
          <w:rFonts w:cs="Calibri"/>
          <w:lang w:val="en-US"/>
        </w:rPr>
        <w:t>Esmat</w:t>
      </w:r>
      <w:proofErr w:type="spellEnd"/>
      <w:r w:rsidRPr="00EB2911">
        <w:rPr>
          <w:rFonts w:cs="Calibri"/>
          <w:lang w:val="en-US"/>
        </w:rPr>
        <w:t xml:space="preserve"> </w:t>
      </w:r>
      <w:proofErr w:type="spellStart"/>
      <w:r w:rsidRPr="00EB2911">
        <w:rPr>
          <w:rFonts w:cs="Calibri"/>
          <w:lang w:val="en-US"/>
        </w:rPr>
        <w:t>Elhalaby</w:t>
      </w:r>
      <w:proofErr w:type="spellEnd"/>
      <w:r w:rsidRPr="00EB2911">
        <w:rPr>
          <w:rFonts w:cs="Calibri"/>
          <w:lang w:val="en-US"/>
        </w:rPr>
        <w:t xml:space="preserve">, </w:t>
      </w:r>
      <w:r w:rsidR="00FF4E08" w:rsidRPr="00EB2911">
        <w:rPr>
          <w:rFonts w:cs="Calibri"/>
          <w:lang w:val="en-US"/>
        </w:rPr>
        <w:t>« </w:t>
      </w:r>
      <w:r w:rsidRPr="00EB2911">
        <w:rPr>
          <w:rFonts w:cs="Calibri"/>
          <w:lang w:val="en-US"/>
        </w:rPr>
        <w:t xml:space="preserve">Toward an intellectual history of genocide in Gaza: Destruction begins with ideas”, </w:t>
      </w:r>
      <w:r w:rsidRPr="00EB2911">
        <w:rPr>
          <w:rFonts w:cs="Calibri"/>
          <w:i/>
          <w:lang w:val="en-US"/>
        </w:rPr>
        <w:t>Baffler</w:t>
      </w:r>
      <w:r w:rsidRPr="00EB2911">
        <w:rPr>
          <w:rFonts w:cs="Calibri"/>
          <w:lang w:val="en-US"/>
        </w:rPr>
        <w:t>, 27 mars 2024.</w:t>
      </w:r>
    </w:p>
    <w:p w14:paraId="5AD3B052" w14:textId="77777777" w:rsidR="00F847EF" w:rsidRPr="00363F0F" w:rsidRDefault="00F847EF" w:rsidP="00F847EF">
      <w:pPr>
        <w:rPr>
          <w:rFonts w:cs="Calibri"/>
          <w:lang w:val="en-US"/>
        </w:rPr>
      </w:pPr>
    </w:p>
    <w:p w14:paraId="06200F23" w14:textId="77777777" w:rsidR="00F847EF" w:rsidRPr="00EB2911" w:rsidRDefault="00F847EF" w:rsidP="00F847EF">
      <w:pPr>
        <w:jc w:val="center"/>
        <w:rPr>
          <w:rFonts w:cs="Calibri"/>
          <w:lang w:val="es-ES"/>
        </w:rPr>
      </w:pPr>
      <w:r w:rsidRPr="00EB2911">
        <w:rPr>
          <w:rFonts w:cs="Calibri"/>
          <w:lang w:val="es-ES"/>
        </w:rPr>
        <w:t>- o - o - o -</w:t>
      </w:r>
    </w:p>
    <w:p w14:paraId="3299B5A3" w14:textId="77777777" w:rsidR="00E567BB" w:rsidRPr="00EB2911" w:rsidRDefault="00E567BB" w:rsidP="001D50D4">
      <w:pPr>
        <w:rPr>
          <w:rFonts w:cs="Calibri"/>
          <w:lang w:val="es-ES"/>
        </w:rPr>
      </w:pPr>
    </w:p>
    <w:p w14:paraId="709DCD7E" w14:textId="7C191208" w:rsidR="003C6E4C" w:rsidRPr="00CC7372" w:rsidRDefault="00000000" w:rsidP="00DB0E24">
      <w:pPr>
        <w:pStyle w:val="Titre1"/>
        <w:rPr>
          <w:lang w:val="es-ES"/>
        </w:rPr>
      </w:pPr>
      <w:bookmarkStart w:id="14" w:name="_Toc199350672"/>
      <w:proofErr w:type="spellStart"/>
      <w:r w:rsidRPr="00CC7372">
        <w:rPr>
          <w:lang w:val="es-ES"/>
        </w:rPr>
        <w:t>Israël</w:t>
      </w:r>
      <w:proofErr w:type="spellEnd"/>
      <w:r w:rsidRPr="00CC7372">
        <w:rPr>
          <w:lang w:val="es-ES"/>
        </w:rPr>
        <w:t>, le paria du monde occidental</w:t>
      </w:r>
      <w:bookmarkEnd w:id="14"/>
    </w:p>
    <w:p w14:paraId="0F8A3A81" w14:textId="33484240" w:rsidR="00E567BB" w:rsidRDefault="00000000" w:rsidP="001D50D4">
      <w:pPr>
        <w:rPr>
          <w:rFonts w:cs="Calibri"/>
        </w:rPr>
      </w:pPr>
      <w:r w:rsidRPr="00EB2911">
        <w:rPr>
          <w:rFonts w:cs="Calibri"/>
        </w:rPr>
        <w:t>En poursuivant son projet de destruction de Gaza et de ses habitants, le gouvernement israélien dégrade chaque jour un peu plus l’image de son pays et, par voie de conséquence, l’image de ses alliés. Ces derniers ont commencé à prendre leurs distances à l’égard d’un pays qu’ils continuent de dire ami, mais dont ils comprennent qu’il les entraîne dans l’abîme. Accusé de génocide par un nombre croissant de gouvernements et de personnalités du monde entier – une accusation validée à demi-mot par l</w:t>
      </w:r>
      <w:r w:rsidR="00EB2911" w:rsidRPr="00EB2911">
        <w:rPr>
          <w:rFonts w:cs="Calibri"/>
        </w:rPr>
        <w:t>a</w:t>
      </w:r>
      <w:r w:rsidRPr="00EB2911">
        <w:rPr>
          <w:rFonts w:cs="Calibri"/>
        </w:rPr>
        <w:t xml:space="preserve"> Cour internationale de justice -, Israël est devenu un partenaire géopolitique embarrassant pour les dirigeants occidentaux qui comprennent qu’ils pourraient à leur tour se voir inculpés pour complicité de ce crime, ce qui est déjà le cas de certains d’entre eux (1). Les images de la destruction systématiques de l’hôpital A</w:t>
      </w:r>
      <w:r w:rsidR="00B7094E">
        <w:rPr>
          <w:rFonts w:cs="Calibri"/>
        </w:rPr>
        <w:t>-</w:t>
      </w:r>
      <w:proofErr w:type="spellStart"/>
      <w:r w:rsidRPr="00EB2911">
        <w:rPr>
          <w:rFonts w:cs="Calibri"/>
        </w:rPr>
        <w:t>Shifa</w:t>
      </w:r>
      <w:proofErr w:type="spellEnd"/>
      <w:r w:rsidRPr="00EB2911">
        <w:rPr>
          <w:rFonts w:cs="Calibri"/>
        </w:rPr>
        <w:t xml:space="preserve">, de sa maternité, de ses blocs opératoires, de son service d’urgence dont les cent quinze lits ont été brûlés, de son département de soins néonataux intensifs dont les quatorze incubateurs ont été détruits, de son unité de production d’oxygène qui a été saccagée ont révélé la détermination à rendre définitivement inutilisable le système de santé palestinien, comme l’a montré la mission des Nations unies après l’occupation des lieux par l’armée israélienne qui a, de plus, entraîné la mort, faute de soins, de nombreux </w:t>
      </w:r>
      <w:r w:rsidRPr="00EB2911">
        <w:rPr>
          <w:rFonts w:cs="Calibri"/>
        </w:rPr>
        <w:lastRenderedPageBreak/>
        <w:t>malades et blessés hospitalisés (2). Les informations sur la famine dont souffrait une grande partie de la population, notamment les nourrissons, les enfants et les femmes enceintes, le refus de laisser entrer la majeur partie de l’aide internationale, les carnages provoqués par les tirs sur les personnes se précipitant vers les</w:t>
      </w:r>
      <w:r w:rsidR="00B7094E">
        <w:rPr>
          <w:rFonts w:cs="Calibri"/>
        </w:rPr>
        <w:t xml:space="preserve"> </w:t>
      </w:r>
      <w:r w:rsidRPr="00EB2911">
        <w:rPr>
          <w:rFonts w:cs="Calibri"/>
        </w:rPr>
        <w:t>points d’approvisionnement, les bombardements des véhicules et des structures des organisations humanitaires ont rendu d’autant plus difficile aux grandes puissances de continuer à détourner le regard du projet du gouvernement israélien d’en finir avec la population palestinienne que ce dernier n’a cessé de l’affirmer publiquement (3).</w:t>
      </w:r>
      <w:r w:rsidR="00D45967">
        <w:rPr>
          <w:rStyle w:val="Appelnotedebasdep"/>
          <w:rFonts w:cs="Calibri"/>
        </w:rPr>
        <w:footnoteReference w:id="15"/>
      </w:r>
    </w:p>
    <w:p w14:paraId="24411339" w14:textId="77777777" w:rsidR="00D45967" w:rsidRPr="00EB2911" w:rsidRDefault="00D45967" w:rsidP="001D50D4">
      <w:pPr>
        <w:rPr>
          <w:rFonts w:cs="Calibri"/>
        </w:rPr>
      </w:pPr>
    </w:p>
    <w:p w14:paraId="44F31ADD" w14:textId="77777777" w:rsidR="00E567BB" w:rsidRPr="00D45967" w:rsidRDefault="00000000" w:rsidP="00D45967">
      <w:pPr>
        <w:pStyle w:val="Paragraphedeliste"/>
        <w:numPr>
          <w:ilvl w:val="0"/>
          <w:numId w:val="31"/>
        </w:numPr>
        <w:rPr>
          <w:rFonts w:cs="Calibri"/>
        </w:rPr>
      </w:pPr>
      <w:r w:rsidRPr="00D45967">
        <w:rPr>
          <w:rFonts w:cs="Calibri"/>
        </w:rPr>
        <w:t>La décision du procureur de la Cour pénale internationale de requérir, le 20 mai 2024, des mandats d’arrêt contre le Premier ministre israélien et son ministre de la Défense, ainsi que contre trois chefs du Hamas, ajoute certainement à l’inconfort des responsables occidentaux, et l’on peut noter à cet égard le revirement du gouvernement français qui, à la différence des gouvernements états-unien et britannique, a publiquement apporté son soutien à la juridiction de la Haye.</w:t>
      </w:r>
    </w:p>
    <w:p w14:paraId="3D5A6C5F" w14:textId="2B946288" w:rsidR="00E567BB" w:rsidRPr="00D45967" w:rsidRDefault="00000000" w:rsidP="00D45967">
      <w:pPr>
        <w:pStyle w:val="Paragraphedeliste"/>
        <w:numPr>
          <w:ilvl w:val="0"/>
          <w:numId w:val="31"/>
        </w:numPr>
        <w:rPr>
          <w:rFonts w:cs="Calibri"/>
          <w:lang w:val="en-US"/>
        </w:rPr>
      </w:pPr>
      <w:r w:rsidRPr="00D45967">
        <w:rPr>
          <w:rFonts w:cs="Calibri"/>
          <w:lang w:val="en-US"/>
        </w:rPr>
        <w:t xml:space="preserve">World Health Organization, </w:t>
      </w:r>
      <w:r w:rsidR="00FF4E08" w:rsidRPr="00D45967">
        <w:rPr>
          <w:rFonts w:cs="Calibri"/>
          <w:lang w:val="en-US"/>
        </w:rPr>
        <w:t>« </w:t>
      </w:r>
      <w:r w:rsidRPr="00D45967">
        <w:rPr>
          <w:rFonts w:cs="Calibri"/>
          <w:lang w:val="en-US"/>
        </w:rPr>
        <w:t xml:space="preserve">Six months of War leave Al-Shifa hospital in ruins”, 6 </w:t>
      </w:r>
      <w:proofErr w:type="spellStart"/>
      <w:r w:rsidRPr="00D45967">
        <w:rPr>
          <w:rFonts w:cs="Calibri"/>
          <w:lang w:val="en-US"/>
        </w:rPr>
        <w:t>avril</w:t>
      </w:r>
      <w:proofErr w:type="spellEnd"/>
      <w:r w:rsidRPr="00D45967">
        <w:rPr>
          <w:rFonts w:cs="Calibri"/>
          <w:lang w:val="en-US"/>
        </w:rPr>
        <w:t xml:space="preserve"> 2024.</w:t>
      </w:r>
    </w:p>
    <w:p w14:paraId="50FC5B6B" w14:textId="77777777" w:rsidR="00E567BB" w:rsidRPr="00D45967" w:rsidRDefault="00000000" w:rsidP="00D45967">
      <w:pPr>
        <w:pStyle w:val="Paragraphedeliste"/>
        <w:numPr>
          <w:ilvl w:val="0"/>
          <w:numId w:val="31"/>
        </w:numPr>
        <w:rPr>
          <w:rFonts w:cs="Calibri"/>
          <w:lang w:val="en-US"/>
        </w:rPr>
      </w:pPr>
      <w:r w:rsidRPr="00D45967">
        <w:rPr>
          <w:rFonts w:cs="Calibri"/>
          <w:lang w:val="en-US"/>
        </w:rPr>
        <w:t>World Health Organization, “Famine in Gaza is imminent, with immediate and long-term health consequences”, 18 mars 2024.</w:t>
      </w:r>
    </w:p>
    <w:p w14:paraId="2D983FAD" w14:textId="77777777" w:rsidR="00055F89" w:rsidRPr="00363F0F" w:rsidRDefault="00055F89" w:rsidP="00055F89">
      <w:pPr>
        <w:rPr>
          <w:rFonts w:cs="Calibri"/>
          <w:lang w:val="en-US"/>
        </w:rPr>
      </w:pPr>
    </w:p>
    <w:p w14:paraId="44CF9289" w14:textId="77777777" w:rsidR="00055F89" w:rsidRPr="00EB2911" w:rsidRDefault="00055F89" w:rsidP="00055F89">
      <w:pPr>
        <w:jc w:val="center"/>
        <w:rPr>
          <w:rFonts w:cs="Calibri"/>
          <w:lang w:val="fr-CA"/>
        </w:rPr>
      </w:pPr>
      <w:r w:rsidRPr="00EB2911">
        <w:rPr>
          <w:rFonts w:cs="Calibri"/>
          <w:lang w:val="fr-CA"/>
        </w:rPr>
        <w:t>- o - o - o -</w:t>
      </w:r>
    </w:p>
    <w:p w14:paraId="32B1100B" w14:textId="77777777" w:rsidR="00E567BB" w:rsidRPr="00EB2911" w:rsidRDefault="00E567BB" w:rsidP="001D50D4">
      <w:pPr>
        <w:rPr>
          <w:rFonts w:cs="Calibri"/>
        </w:rPr>
      </w:pPr>
    </w:p>
    <w:p w14:paraId="4DC14B90" w14:textId="2C93CF38" w:rsidR="00E567BB" w:rsidRPr="00EB2911" w:rsidRDefault="00E4387F" w:rsidP="003C0CA9">
      <w:pPr>
        <w:pStyle w:val="Titre1"/>
      </w:pPr>
      <w:bookmarkStart w:id="15" w:name="_Toc199350673"/>
      <w:r>
        <w:t>Pourquoi les gouvernements occidentaux n’ont</w:t>
      </w:r>
      <w:r w:rsidR="003C0CA9">
        <w:t xml:space="preserve">-ils </w:t>
      </w:r>
      <w:r>
        <w:t>pas essayé d</w:t>
      </w:r>
      <w:r w:rsidR="003C0CA9">
        <w:t>’arrêter le génocide ?</w:t>
      </w:r>
      <w:bookmarkEnd w:id="15"/>
    </w:p>
    <w:p w14:paraId="0B7CBDCA" w14:textId="6997A833" w:rsidR="00E567BB" w:rsidRDefault="00000000" w:rsidP="001D50D4">
      <w:pPr>
        <w:rPr>
          <w:rFonts w:cs="Calibri"/>
        </w:rPr>
      </w:pPr>
      <w:r w:rsidRPr="00EB2911">
        <w:rPr>
          <w:rFonts w:cs="Calibri"/>
        </w:rPr>
        <w:t>Pourquoi la plupart des gouvernements occidentaux ont-ils alors soutenu non seulement le droit d’Israël à se défendre, mais également son projet d’anéantissement de Gaza? Pourquoi n’ont-ils pas réagi lorsque le président israélien a affirmé que c’est toute une nation qui est responsable, annonçant ainsi les meurtres de masse qui se préparaient? Pourquoi le président français a-t-il déclaré à la veille de la commémoration du trentième anniversaire du génocide des Tutsis que la France aurait pu arrêter avec ses alliés occidentaux et africains mais qu’elle n’en a pas eu la volonté, sans établir un lien avec le fait qu’il se trouvait à son tour, depuis six mois, dans la position de pouvoir intervenir, avec ses alliés occidentaux et peut-être arabes, pour essayer de mettre fin à ce que la plus haute juridiction internationale considérait comme un risque plausible de génocide à Gaza, et qu’il n’en avait pas eu la volonté, comme peut-être, dans trois décennies, son successeur l’affirmera (1)?</w:t>
      </w:r>
      <w:r w:rsidR="003C0CA9">
        <w:rPr>
          <w:rStyle w:val="Appelnotedebasdep"/>
          <w:rFonts w:cs="Calibri"/>
        </w:rPr>
        <w:footnoteReference w:id="16"/>
      </w:r>
    </w:p>
    <w:p w14:paraId="5236965C" w14:textId="77777777" w:rsidR="00DF2D2B" w:rsidRPr="00EB2911" w:rsidRDefault="00DF2D2B" w:rsidP="001D50D4">
      <w:pPr>
        <w:rPr>
          <w:rFonts w:cs="Calibri"/>
        </w:rPr>
      </w:pPr>
    </w:p>
    <w:p w14:paraId="4B89A621" w14:textId="5FC58C4D" w:rsidR="00E567BB" w:rsidRPr="003C0CA9" w:rsidRDefault="00FF4E08" w:rsidP="003C0CA9">
      <w:pPr>
        <w:pStyle w:val="Paragraphedeliste"/>
        <w:numPr>
          <w:ilvl w:val="0"/>
          <w:numId w:val="32"/>
        </w:numPr>
        <w:rPr>
          <w:rFonts w:cs="Calibri"/>
        </w:rPr>
      </w:pPr>
      <w:r w:rsidRPr="003C0CA9">
        <w:rPr>
          <w:rFonts w:cs="Calibri"/>
        </w:rPr>
        <w:t xml:space="preserve">« Rwanda : pour Emmanuel Macron, la France « aurait pu arrêter le génocide », mais n’en a « pas eu la volonté » », </w:t>
      </w:r>
      <w:r w:rsidRPr="00816106">
        <w:rPr>
          <w:rFonts w:cs="Calibri"/>
          <w:i/>
          <w:iCs/>
        </w:rPr>
        <w:t>Le Monde</w:t>
      </w:r>
      <w:r w:rsidRPr="003C0CA9">
        <w:rPr>
          <w:rFonts w:cs="Calibri"/>
        </w:rPr>
        <w:t>, 4 avril 2024. Devant les réactions politiques de protestation contre cette affirmation et comprenant peut-être le risque légal d’une plainte pour complicité de génocide, le président français l’a finalement retirée de la communication qu’il a adressée aux autorités de Kigali, lesquelles n’ont pas jugé bon de la diffuser.</w:t>
      </w:r>
    </w:p>
    <w:p w14:paraId="452001D8" w14:textId="77777777" w:rsidR="00F847EF" w:rsidRPr="00EB2911" w:rsidRDefault="00F847EF" w:rsidP="00F847EF">
      <w:pPr>
        <w:rPr>
          <w:rFonts w:cs="Calibri"/>
        </w:rPr>
      </w:pPr>
    </w:p>
    <w:p w14:paraId="77F39993" w14:textId="77777777" w:rsidR="00F847EF" w:rsidRPr="00EB2911" w:rsidRDefault="00F847EF" w:rsidP="00F847EF">
      <w:pPr>
        <w:jc w:val="center"/>
        <w:rPr>
          <w:rFonts w:cs="Calibri"/>
          <w:lang w:val="fr-CA"/>
        </w:rPr>
      </w:pPr>
      <w:r w:rsidRPr="00EB2911">
        <w:rPr>
          <w:rFonts w:cs="Calibri"/>
          <w:lang w:val="fr-CA"/>
        </w:rPr>
        <w:t>- o - o - o -</w:t>
      </w:r>
    </w:p>
    <w:p w14:paraId="6F26AB14" w14:textId="77777777" w:rsidR="00E567BB" w:rsidRPr="00EB2911" w:rsidRDefault="00E567BB" w:rsidP="001D50D4">
      <w:pPr>
        <w:rPr>
          <w:rFonts w:cs="Calibri"/>
        </w:rPr>
      </w:pPr>
    </w:p>
    <w:p w14:paraId="75DD52CA" w14:textId="799D9532" w:rsidR="00DB26CE" w:rsidRPr="00EB2911" w:rsidRDefault="00000000" w:rsidP="00816106">
      <w:pPr>
        <w:pStyle w:val="Titre1"/>
      </w:pPr>
      <w:bookmarkStart w:id="16" w:name="_Toc199350674"/>
      <w:r w:rsidRPr="00EB2911">
        <w:t>Israël sous perfusion de l’aide américaine</w:t>
      </w:r>
      <w:bookmarkEnd w:id="16"/>
    </w:p>
    <w:p w14:paraId="72EF67AD" w14:textId="517DBB0D" w:rsidR="00E567BB" w:rsidRPr="00EB2911" w:rsidRDefault="00000000" w:rsidP="001D50D4">
      <w:pPr>
        <w:rPr>
          <w:rFonts w:cs="Calibri"/>
        </w:rPr>
      </w:pPr>
      <w:r w:rsidRPr="00EB2911">
        <w:rPr>
          <w:rFonts w:cs="Calibri"/>
        </w:rPr>
        <w:t xml:space="preserve">Aujourd’hui, c’est l’aide apportée par les États-Unis qui est de loin la plus importante, dépassant largement tous ses autres dons à des pays étrangers. Depuis 1946, elle s’élève à 310 milliards de </w:t>
      </w:r>
      <w:r w:rsidRPr="00EB2911">
        <w:rPr>
          <w:rFonts w:cs="Calibri"/>
        </w:rPr>
        <w:lastRenderedPageBreak/>
        <w:t xml:space="preserve">dollars. Au cours de la période récente, elle était de 3,3 milliards de dollars par an, dont 99,7% pour le seul secteur militaire, auxquels s’ajoutent 500 millions de dollars pour la consolidation du dôme de protection contre les attaques aériennes. Cette contribution représente en moyenne 71% de l’aide internationale que reçoit Israël et 15% de son budget de la défense (1). Le 19 avril 2024, un supplément de 17 milliards de dollars d’aide militaire a été voté par le Congrès, en plus des 14 milliards déjà attribués par ses membres quelques mois plus tôt. Avant de soumettre ce nouveau texte de loi, le président des États-Unis avait rappelé que son pays ne fournirait pas d’aide militaire à des gouvernements étrangers qui se rendaient coupables de violations flagrantes des droits humains, en conformité avec une loi dite </w:t>
      </w:r>
      <w:r w:rsidRPr="00EB2911">
        <w:rPr>
          <w:rFonts w:cs="Calibri"/>
          <w:i/>
        </w:rPr>
        <w:t xml:space="preserve">Leahy Law </w:t>
      </w:r>
      <w:r w:rsidRPr="00EB2911">
        <w:rPr>
          <w:rFonts w:cs="Calibri"/>
        </w:rPr>
        <w:t>qui impose cette règle, laquelle est donc censée avoir été respectée par Israël au cours des dernières décennies et, singulièrement, depuis le 7 octobre nonobstant le jugement rendu à cet égard par la Cour internationale de justice (2). Comme pour tous les dons faits par les États-Unis pour les activités de défense, les récipiendaires doivent dépenser les sommes allouées en achetant du matériel et des services étatsuniens, avec certaines exceptions autorisées dans le cas israélien. Ce qui signifie que l’aide est en réalité une subvention au complexe industriel militaire étatsunien. Tout comme la guerre en Ukraine, la guerre à Gaza constitue donc une ressource majeure pour les entreprises de ce secteur, mais aussi pour l’expertise que développe le Pentagone dans la course globale aux armements. Plus largement, pour les États-Unis comme pour l’Allemagne, la France, l’Italie et la Grande-Bretagne, les ventes de matériel et de services militaires à Israël, en plus des rentrées financières qu’elles procurent, présentent ainsi l’intérêt de les mettre à l’épreuve des situations de guerre.</w:t>
      </w:r>
      <w:r w:rsidR="00FF326C">
        <w:rPr>
          <w:rStyle w:val="Appelnotedebasdep"/>
          <w:rFonts w:cs="Calibri"/>
        </w:rPr>
        <w:footnoteReference w:id="17"/>
      </w:r>
    </w:p>
    <w:p w14:paraId="01E4DC0F" w14:textId="77777777" w:rsidR="00FF326C" w:rsidRPr="00363F0F" w:rsidRDefault="00FF326C" w:rsidP="001D50D4">
      <w:pPr>
        <w:rPr>
          <w:rFonts w:cs="Calibri"/>
          <w:lang w:val="fr-CA"/>
        </w:rPr>
      </w:pPr>
    </w:p>
    <w:p w14:paraId="656949F6" w14:textId="188D5AE6" w:rsidR="00E567BB" w:rsidRPr="00A4695D" w:rsidRDefault="00FF4E08" w:rsidP="00A4695D">
      <w:pPr>
        <w:pStyle w:val="Paragraphedeliste"/>
        <w:numPr>
          <w:ilvl w:val="0"/>
          <w:numId w:val="33"/>
        </w:numPr>
        <w:rPr>
          <w:rFonts w:cs="Calibri"/>
          <w:lang w:val="en-US"/>
        </w:rPr>
      </w:pPr>
      <w:r w:rsidRPr="00A4695D">
        <w:rPr>
          <w:rFonts w:cs="Calibri"/>
          <w:lang w:val="en-US"/>
        </w:rPr>
        <w:t xml:space="preserve">« How much aid does the US gives to Israel”, USA Facts, 12 </w:t>
      </w:r>
      <w:proofErr w:type="spellStart"/>
      <w:r w:rsidRPr="00A4695D">
        <w:rPr>
          <w:rFonts w:cs="Calibri"/>
          <w:lang w:val="en-US"/>
        </w:rPr>
        <w:t>octobre</w:t>
      </w:r>
      <w:proofErr w:type="spellEnd"/>
      <w:r w:rsidRPr="00A4695D">
        <w:rPr>
          <w:rFonts w:cs="Calibri"/>
          <w:lang w:val="en-US"/>
        </w:rPr>
        <w:t xml:space="preserve"> 2023.</w:t>
      </w:r>
    </w:p>
    <w:p w14:paraId="134754C9" w14:textId="77777777" w:rsidR="00E567BB" w:rsidRPr="00A4695D" w:rsidRDefault="00000000" w:rsidP="00A4695D">
      <w:pPr>
        <w:pStyle w:val="Paragraphedeliste"/>
        <w:numPr>
          <w:ilvl w:val="0"/>
          <w:numId w:val="33"/>
        </w:numPr>
        <w:rPr>
          <w:rFonts w:cs="Calibri"/>
          <w:lang w:val="en-US"/>
        </w:rPr>
      </w:pPr>
      <w:r w:rsidRPr="00A4695D">
        <w:rPr>
          <w:rFonts w:cs="Calibri"/>
          <w:lang w:val="en-US"/>
        </w:rPr>
        <w:t xml:space="preserve">Jonathan Masters et Will Merrow, “US aid </w:t>
      </w:r>
      <w:proofErr w:type="spellStart"/>
      <w:r w:rsidRPr="00A4695D">
        <w:rPr>
          <w:rFonts w:cs="Calibri"/>
          <w:lang w:val="en-US"/>
        </w:rPr>
        <w:t>ti</w:t>
      </w:r>
      <w:proofErr w:type="spellEnd"/>
      <w:r w:rsidRPr="00A4695D">
        <w:rPr>
          <w:rFonts w:cs="Calibri"/>
          <w:lang w:val="en-US"/>
        </w:rPr>
        <w:t xml:space="preserve"> Israel in four charts”, </w:t>
      </w:r>
      <w:r w:rsidRPr="00A4695D">
        <w:rPr>
          <w:rFonts w:cs="Calibri"/>
          <w:i/>
          <w:lang w:val="en-US"/>
        </w:rPr>
        <w:t>Council on Foreign Relations</w:t>
      </w:r>
      <w:r w:rsidRPr="00A4695D">
        <w:rPr>
          <w:rFonts w:cs="Calibri"/>
          <w:lang w:val="en-US"/>
        </w:rPr>
        <w:t xml:space="preserve">, 11 </w:t>
      </w:r>
      <w:proofErr w:type="spellStart"/>
      <w:r w:rsidRPr="00A4695D">
        <w:rPr>
          <w:rFonts w:cs="Calibri"/>
          <w:lang w:val="en-US"/>
        </w:rPr>
        <w:t>avril</w:t>
      </w:r>
      <w:proofErr w:type="spellEnd"/>
      <w:r w:rsidRPr="00A4695D">
        <w:rPr>
          <w:rFonts w:cs="Calibri"/>
          <w:lang w:val="en-US"/>
        </w:rPr>
        <w:t xml:space="preserve"> 2024.</w:t>
      </w:r>
    </w:p>
    <w:p w14:paraId="57EEAEBE" w14:textId="77777777" w:rsidR="00F847EF" w:rsidRPr="00363F0F" w:rsidRDefault="00F847EF" w:rsidP="00F847EF">
      <w:pPr>
        <w:rPr>
          <w:rFonts w:cs="Calibri"/>
          <w:lang w:val="en-US"/>
        </w:rPr>
      </w:pPr>
    </w:p>
    <w:p w14:paraId="7AB29991" w14:textId="77777777" w:rsidR="00F847EF" w:rsidRPr="00EB2911" w:rsidRDefault="00F847EF" w:rsidP="00F847EF">
      <w:pPr>
        <w:jc w:val="center"/>
        <w:rPr>
          <w:rFonts w:cs="Calibri"/>
          <w:lang w:val="fr-CA"/>
        </w:rPr>
      </w:pPr>
      <w:r w:rsidRPr="00EB2911">
        <w:rPr>
          <w:rFonts w:cs="Calibri"/>
          <w:lang w:val="fr-CA"/>
        </w:rPr>
        <w:t>- o - o - o -</w:t>
      </w:r>
    </w:p>
    <w:p w14:paraId="1DE9BA00" w14:textId="77777777" w:rsidR="00E567BB" w:rsidRPr="00EB2911" w:rsidRDefault="00E567BB" w:rsidP="001D50D4">
      <w:pPr>
        <w:rPr>
          <w:rFonts w:cs="Calibri"/>
        </w:rPr>
      </w:pPr>
    </w:p>
    <w:p w14:paraId="6FAE6855" w14:textId="6AFE2A54" w:rsidR="003C6E4C" w:rsidRPr="00EB2911" w:rsidRDefault="00000000" w:rsidP="00A4695D">
      <w:pPr>
        <w:pStyle w:val="Titre1"/>
      </w:pPr>
      <w:bookmarkStart w:id="17" w:name="_Toc199350675"/>
      <w:r w:rsidRPr="00EB2911">
        <w:t>Comment l’AIPAC a soudoyé les démocrates</w:t>
      </w:r>
      <w:bookmarkEnd w:id="17"/>
    </w:p>
    <w:p w14:paraId="604B2E7D" w14:textId="75F631CD" w:rsidR="00E567BB" w:rsidRDefault="00000000" w:rsidP="001D50D4">
      <w:pPr>
        <w:rPr>
          <w:rFonts w:cs="Calibri"/>
        </w:rPr>
      </w:pPr>
      <w:r w:rsidRPr="00EB2911">
        <w:rPr>
          <w:rFonts w:cs="Calibri"/>
        </w:rPr>
        <w:t xml:space="preserve">De ces multiples dimensions du soutien occidental, le Premier ministre israélien sait se servir. Outre l’invocation du risque existentiel pour l’État d’Israël, il ne manque pas de rappeler, comme l’a montré Jean-Pierre </w:t>
      </w:r>
      <w:proofErr w:type="spellStart"/>
      <w:r w:rsidRPr="00EB2911">
        <w:rPr>
          <w:rFonts w:cs="Calibri"/>
        </w:rPr>
        <w:t>Filiu</w:t>
      </w:r>
      <w:proofErr w:type="spellEnd"/>
      <w:r w:rsidRPr="00EB2911">
        <w:rPr>
          <w:rFonts w:cs="Calibri"/>
        </w:rPr>
        <w:t xml:space="preserve">, qu’il est le représentant et le défenseur du </w:t>
      </w:r>
      <w:r w:rsidR="00FF4E08" w:rsidRPr="00EB2911">
        <w:rPr>
          <w:rFonts w:cs="Calibri"/>
        </w:rPr>
        <w:t>« </w:t>
      </w:r>
      <w:r w:rsidRPr="00EB2911">
        <w:rPr>
          <w:rFonts w:cs="Calibri"/>
        </w:rPr>
        <w:t>monde civilisé</w:t>
      </w:r>
      <w:r w:rsidR="00FF4E08" w:rsidRPr="00EB2911">
        <w:rPr>
          <w:rFonts w:cs="Calibri"/>
        </w:rPr>
        <w:t> »</w:t>
      </w:r>
      <w:r w:rsidRPr="00EB2911">
        <w:rPr>
          <w:rFonts w:cs="Calibri"/>
        </w:rPr>
        <w:t xml:space="preserve"> dans la région (1). Il est au demeurant probable que, dans un contexte de montée des autoritarismes et des nationalismes, avec, dans une grande partie de l’Europe, une progression spectaculaire des partis d’extrême droite dont plusieurs sont désormais au gouvernement, la tolérance, voire la sympathie à l’égard de cet allié s’explique par son exercice du pouvoir qui exalte ces tendances. Ce qui expliquerait l’étroite affinité entre le Premier ministre hongrois antisémite et le Premier ministre israélien. Mais, dans le cas des États-Unis, il y a une raison plus</w:t>
      </w:r>
      <w:r w:rsidR="00A4695D">
        <w:rPr>
          <w:rFonts w:cs="Calibri"/>
        </w:rPr>
        <w:t xml:space="preserve"> </w:t>
      </w:r>
      <w:r w:rsidRPr="00EB2911">
        <w:rPr>
          <w:rFonts w:cs="Calibri"/>
        </w:rPr>
        <w:t xml:space="preserve">triviale au soutien du gouvernement démocrate à la politique israélienne. Elle est liée au rôle de l’AIPAC, L’American </w:t>
      </w:r>
      <w:proofErr w:type="spellStart"/>
      <w:r w:rsidRPr="00EB2911">
        <w:rPr>
          <w:rFonts w:cs="Calibri"/>
        </w:rPr>
        <w:t>Israel</w:t>
      </w:r>
      <w:proofErr w:type="spellEnd"/>
      <w:r w:rsidRPr="00EB2911">
        <w:rPr>
          <w:rFonts w:cs="Calibri"/>
        </w:rPr>
        <w:t xml:space="preserve"> Public </w:t>
      </w:r>
      <w:proofErr w:type="spellStart"/>
      <w:r w:rsidRPr="00EB2911">
        <w:rPr>
          <w:rFonts w:cs="Calibri"/>
        </w:rPr>
        <w:t>Affairs</w:t>
      </w:r>
      <w:proofErr w:type="spellEnd"/>
      <w:r w:rsidRPr="00EB2911">
        <w:rPr>
          <w:rFonts w:cs="Calibri"/>
        </w:rPr>
        <w:t xml:space="preserve"> </w:t>
      </w:r>
      <w:proofErr w:type="spellStart"/>
      <w:r w:rsidRPr="00EB2911">
        <w:rPr>
          <w:rFonts w:cs="Calibri"/>
        </w:rPr>
        <w:t>Committee</w:t>
      </w:r>
      <w:proofErr w:type="spellEnd"/>
      <w:r w:rsidRPr="00EB2911">
        <w:rPr>
          <w:rFonts w:cs="Calibri"/>
        </w:rPr>
        <w:t>, principal financeur extérieur des primaires démocrates, qui a promis de dépenser 100 millions de dollars pour évincer les candidats favorables à un cessez-le-feu et qui a fait un don substantiel pour les frais de campagne du speaker républicain de la Chambre des représentants après qu’il a fait approuver le texte accordant 14 milliards de dollars d’aide militaires à Israël (2).</w:t>
      </w:r>
      <w:r w:rsidR="00A4695D">
        <w:rPr>
          <w:rStyle w:val="Appelnotedebasdep"/>
          <w:rFonts w:cs="Calibri"/>
        </w:rPr>
        <w:footnoteReference w:id="18"/>
      </w:r>
    </w:p>
    <w:p w14:paraId="6A4093C1" w14:textId="77777777" w:rsidR="00A4695D" w:rsidRPr="00EB2911" w:rsidRDefault="00A4695D" w:rsidP="001D50D4">
      <w:pPr>
        <w:rPr>
          <w:rFonts w:cs="Calibri"/>
        </w:rPr>
      </w:pPr>
    </w:p>
    <w:p w14:paraId="3F435597" w14:textId="5D78060E" w:rsidR="00E567BB" w:rsidRPr="00F13175" w:rsidRDefault="00000000" w:rsidP="00F13175">
      <w:pPr>
        <w:pStyle w:val="Paragraphedeliste"/>
        <w:numPr>
          <w:ilvl w:val="0"/>
          <w:numId w:val="34"/>
        </w:numPr>
        <w:rPr>
          <w:rFonts w:cs="Calibri"/>
        </w:rPr>
      </w:pPr>
      <w:r w:rsidRPr="00F13175">
        <w:rPr>
          <w:rFonts w:cs="Calibri"/>
        </w:rPr>
        <w:lastRenderedPageBreak/>
        <w:t xml:space="preserve">Jean-Pierre </w:t>
      </w:r>
      <w:proofErr w:type="spellStart"/>
      <w:r w:rsidRPr="00F13175">
        <w:rPr>
          <w:rFonts w:cs="Calibri"/>
        </w:rPr>
        <w:t>Filiu</w:t>
      </w:r>
      <w:proofErr w:type="spellEnd"/>
      <w:r w:rsidRPr="00F13175">
        <w:rPr>
          <w:rFonts w:cs="Calibri"/>
        </w:rPr>
        <w:t xml:space="preserve">, </w:t>
      </w:r>
      <w:r w:rsidR="00FF4E08" w:rsidRPr="00F13175">
        <w:rPr>
          <w:rFonts w:cs="Calibri"/>
        </w:rPr>
        <w:t>« </w:t>
      </w:r>
      <w:r w:rsidRPr="00F13175">
        <w:rPr>
          <w:rFonts w:cs="Calibri"/>
        </w:rPr>
        <w:t xml:space="preserve">Comment Benyamin Netanyahou est devenu le leader autoproclamé du </w:t>
      </w:r>
      <w:r w:rsidR="00FF4E08" w:rsidRPr="00F13175">
        <w:rPr>
          <w:rFonts w:cs="Calibri"/>
        </w:rPr>
        <w:t>« </w:t>
      </w:r>
      <w:r w:rsidRPr="00F13175">
        <w:rPr>
          <w:rFonts w:cs="Calibri"/>
        </w:rPr>
        <w:t>monde civilisé</w:t>
      </w:r>
      <w:r w:rsidR="00FF4E08" w:rsidRPr="00F13175">
        <w:rPr>
          <w:rFonts w:cs="Calibri"/>
        </w:rPr>
        <w:t> »</w:t>
      </w:r>
      <w:r w:rsidRPr="00F13175">
        <w:rPr>
          <w:rFonts w:cs="Calibri"/>
        </w:rPr>
        <w:t xml:space="preserve">, </w:t>
      </w:r>
      <w:r w:rsidRPr="00F13175">
        <w:rPr>
          <w:rFonts w:cs="Calibri"/>
          <w:i/>
        </w:rPr>
        <w:t>Le Monde</w:t>
      </w:r>
      <w:r w:rsidRPr="00F13175">
        <w:rPr>
          <w:rFonts w:cs="Calibri"/>
        </w:rPr>
        <w:t>, 29 octobre 2023.</w:t>
      </w:r>
    </w:p>
    <w:p w14:paraId="15375614" w14:textId="5430F1D9" w:rsidR="00E567BB" w:rsidRPr="00F13175" w:rsidRDefault="00000000" w:rsidP="00F13175">
      <w:pPr>
        <w:pStyle w:val="Paragraphedeliste"/>
        <w:numPr>
          <w:ilvl w:val="0"/>
          <w:numId w:val="34"/>
        </w:numPr>
        <w:rPr>
          <w:rFonts w:cs="Calibri"/>
          <w:lang w:val="en-US"/>
        </w:rPr>
      </w:pPr>
      <w:r w:rsidRPr="00F13175">
        <w:rPr>
          <w:rFonts w:cs="Calibri"/>
          <w:lang w:val="en-US"/>
        </w:rPr>
        <w:t xml:space="preserve">Catherine Caruso, </w:t>
      </w:r>
      <w:r w:rsidR="00FF4E08" w:rsidRPr="00F13175">
        <w:rPr>
          <w:rFonts w:cs="Calibri"/>
          <w:lang w:val="en-US"/>
        </w:rPr>
        <w:t>« </w:t>
      </w:r>
      <w:r w:rsidRPr="00F13175">
        <w:rPr>
          <w:rFonts w:cs="Calibri"/>
          <w:lang w:val="en-US"/>
        </w:rPr>
        <w:t xml:space="preserve">After House speaker Mike Johnson pushed through Israel aid package, AIPAC cash came flowing in”, </w:t>
      </w:r>
      <w:r w:rsidRPr="00F13175">
        <w:rPr>
          <w:rFonts w:cs="Calibri"/>
          <w:i/>
          <w:lang w:val="en-US"/>
        </w:rPr>
        <w:t>The Intercept</w:t>
      </w:r>
      <w:r w:rsidRPr="00F13175">
        <w:rPr>
          <w:rFonts w:cs="Calibri"/>
          <w:lang w:val="en-US"/>
        </w:rPr>
        <w:t xml:space="preserve">, 20 </w:t>
      </w:r>
      <w:proofErr w:type="spellStart"/>
      <w:r w:rsidRPr="00F13175">
        <w:rPr>
          <w:rFonts w:cs="Calibri"/>
          <w:lang w:val="en-US"/>
        </w:rPr>
        <w:t>janvier</w:t>
      </w:r>
      <w:proofErr w:type="spellEnd"/>
      <w:r w:rsidRPr="00F13175">
        <w:rPr>
          <w:rFonts w:cs="Calibri"/>
          <w:lang w:val="en-US"/>
        </w:rPr>
        <w:t xml:space="preserve"> 2024, et Akela Lacy, “The left is finally building a response to AIPAC”, </w:t>
      </w:r>
      <w:r w:rsidRPr="00F13175">
        <w:rPr>
          <w:rFonts w:cs="Calibri"/>
          <w:i/>
          <w:lang w:val="en-US"/>
        </w:rPr>
        <w:t>The Intercept</w:t>
      </w:r>
      <w:r w:rsidRPr="00F13175">
        <w:rPr>
          <w:rFonts w:cs="Calibri"/>
          <w:lang w:val="en-US"/>
        </w:rPr>
        <w:t>, 11 mars 2024.</w:t>
      </w:r>
    </w:p>
    <w:p w14:paraId="78466915" w14:textId="77777777" w:rsidR="00F847EF" w:rsidRPr="00363F0F" w:rsidRDefault="00F847EF" w:rsidP="00F847EF">
      <w:pPr>
        <w:rPr>
          <w:rFonts w:cs="Calibri"/>
          <w:lang w:val="en-US"/>
        </w:rPr>
      </w:pPr>
    </w:p>
    <w:p w14:paraId="403A4D01" w14:textId="77777777" w:rsidR="00F847EF" w:rsidRPr="00EB2911" w:rsidRDefault="00F847EF" w:rsidP="00F847EF">
      <w:pPr>
        <w:jc w:val="center"/>
        <w:rPr>
          <w:rFonts w:cs="Calibri"/>
          <w:lang w:val="fr-CA"/>
        </w:rPr>
      </w:pPr>
      <w:r w:rsidRPr="00EB2911">
        <w:rPr>
          <w:rFonts w:cs="Calibri"/>
          <w:lang w:val="fr-CA"/>
        </w:rPr>
        <w:t>- o - o - o -</w:t>
      </w:r>
    </w:p>
    <w:p w14:paraId="722AEFD4" w14:textId="77777777" w:rsidR="00E567BB" w:rsidRPr="00EB2911" w:rsidRDefault="00E567BB" w:rsidP="001D50D4">
      <w:pPr>
        <w:rPr>
          <w:rFonts w:cs="Calibri"/>
        </w:rPr>
      </w:pPr>
    </w:p>
    <w:p w14:paraId="468BB06B" w14:textId="10C569A5" w:rsidR="00E567BB" w:rsidRPr="00EB2911" w:rsidRDefault="002D562D" w:rsidP="002D562D">
      <w:pPr>
        <w:pStyle w:val="Titre1"/>
      </w:pPr>
      <w:bookmarkStart w:id="18" w:name="_Toc199350676"/>
      <w:r w:rsidRPr="00EB2911">
        <w:t>Hostilité à l’encontre des musulmans et racisme anti-arabe</w:t>
      </w:r>
      <w:bookmarkEnd w:id="18"/>
    </w:p>
    <w:p w14:paraId="77FBD6C1" w14:textId="49A698A7" w:rsidR="00E567BB" w:rsidRDefault="00000000" w:rsidP="001D50D4">
      <w:pPr>
        <w:rPr>
          <w:rFonts w:cs="Calibri"/>
        </w:rPr>
      </w:pPr>
      <w:r w:rsidRPr="00EB2911">
        <w:rPr>
          <w:rFonts w:cs="Calibri"/>
        </w:rPr>
        <w:t xml:space="preserve">À côté de ces différentes logiques – historique, géopolitique, économique, militaire, tactique – dont les configurations varient selon les contextes nationaux, il existe un élément commun aux pays occidentaux. Il est idéologique. Il se manifeste par l’hostilité à l’égard des musulmans et le racisme à l’encontre des populations arabes. L’une et l’autre s’inscrivent dans un héritage colonial, notamment pour les empires français et britanniques, et même précolonial, pour ce que Maxime </w:t>
      </w:r>
      <w:proofErr w:type="spellStart"/>
      <w:r w:rsidRPr="00EB2911">
        <w:rPr>
          <w:rFonts w:cs="Calibri"/>
        </w:rPr>
        <w:t>Rodinson</w:t>
      </w:r>
      <w:proofErr w:type="spellEnd"/>
      <w:r w:rsidRPr="00EB2911">
        <w:rPr>
          <w:rFonts w:cs="Calibri"/>
        </w:rPr>
        <w:t xml:space="preserve"> désignait comme l’</w:t>
      </w:r>
      <w:r w:rsidR="00B0424D">
        <w:rPr>
          <w:rFonts w:cs="Calibri"/>
        </w:rPr>
        <w:t>« </w:t>
      </w:r>
      <w:r w:rsidRPr="00EB2911">
        <w:rPr>
          <w:rFonts w:cs="Calibri"/>
        </w:rPr>
        <w:t>Occident chrétien (1)</w:t>
      </w:r>
      <w:r w:rsidR="00FF4E08" w:rsidRPr="00EB2911">
        <w:rPr>
          <w:rFonts w:cs="Calibri"/>
        </w:rPr>
        <w:t> »</w:t>
      </w:r>
      <w:r w:rsidRPr="00EB2911">
        <w:rPr>
          <w:rFonts w:cs="Calibri"/>
        </w:rPr>
        <w:t xml:space="preserve">. Mais elles ont pris une autre signification après le 11 septembre 2001. L’islam a alors été associé au terrorisme, les musulmans à un péril pour la sécurité des pays occidentaux et les populations arabes à une menace pour l’identité européenne. On a vu se multiplier les discours xénophobes les visant spécifiquement, le thème du </w:t>
      </w:r>
      <w:r w:rsidR="00FF4E08" w:rsidRPr="00EB2911">
        <w:rPr>
          <w:rFonts w:cs="Calibri"/>
        </w:rPr>
        <w:t>« </w:t>
      </w:r>
      <w:r w:rsidRPr="00EB2911">
        <w:rPr>
          <w:rFonts w:cs="Calibri"/>
        </w:rPr>
        <w:t>grand remplacement</w:t>
      </w:r>
      <w:r w:rsidR="00FF4E08" w:rsidRPr="00EB2911">
        <w:rPr>
          <w:rFonts w:cs="Calibri"/>
        </w:rPr>
        <w:t> »</w:t>
      </w:r>
      <w:r w:rsidRPr="00EB2911">
        <w:rPr>
          <w:rFonts w:cs="Calibri"/>
        </w:rPr>
        <w:t xml:space="preserve"> se disséminer comme dans un autre temps la théorie du complot judéo-maçonnique, les restrictions aux frontières ciblant les musulmans aux États-Unis, l’interdiction des signes religieux liés à l’islam progressivement étendue en France, la montée de l’islamophobie documentée dans un récent rapport en Allemagne, et même, plus singulièrement encore, l’annonce du retrait de la nationalité belge aux enfants de parents palestiniens nés en Belgique (2). Les politiques européennes sélectives en matière d’immigration sont révélatrices de cette discrimination à l’encontre des musulmans, comme on a pu l’observer avec le traitement différentiel des exilés ukrainiens fuyant l’envahisseur russe, généreusement accueillis, et des exilés afghans fuyant la répression talibane, brutalisés aux frontières grecques, croates et hongroise de l’Union européenne (3).</w:t>
      </w:r>
      <w:r w:rsidR="00970A38">
        <w:rPr>
          <w:rStyle w:val="Appelnotedebasdep"/>
          <w:rFonts w:cs="Calibri"/>
        </w:rPr>
        <w:footnoteReference w:id="19"/>
      </w:r>
    </w:p>
    <w:p w14:paraId="42CE410C" w14:textId="77777777" w:rsidR="00970A38" w:rsidRPr="00EB2911" w:rsidRDefault="00970A38" w:rsidP="001D50D4">
      <w:pPr>
        <w:rPr>
          <w:rFonts w:cs="Calibri"/>
        </w:rPr>
      </w:pPr>
    </w:p>
    <w:p w14:paraId="136A9ACF" w14:textId="50AE70CA" w:rsidR="00E567BB" w:rsidRPr="00D43A62" w:rsidRDefault="00000000" w:rsidP="00D43A62">
      <w:pPr>
        <w:pStyle w:val="Paragraphedeliste"/>
        <w:numPr>
          <w:ilvl w:val="0"/>
          <w:numId w:val="35"/>
        </w:numPr>
        <w:rPr>
          <w:rFonts w:cs="Calibri"/>
        </w:rPr>
      </w:pPr>
      <w:r w:rsidRPr="00D43A62">
        <w:rPr>
          <w:rFonts w:cs="Calibri"/>
        </w:rPr>
        <w:t xml:space="preserve">Vincent </w:t>
      </w:r>
      <w:proofErr w:type="spellStart"/>
      <w:r w:rsidRPr="00D43A62">
        <w:rPr>
          <w:rFonts w:cs="Calibri"/>
        </w:rPr>
        <w:t>Geisser</w:t>
      </w:r>
      <w:proofErr w:type="spellEnd"/>
      <w:r w:rsidRPr="00D43A62">
        <w:rPr>
          <w:rFonts w:cs="Calibri"/>
        </w:rPr>
        <w:t xml:space="preserve">, </w:t>
      </w:r>
      <w:r w:rsidR="00FF4E08" w:rsidRPr="00D43A62">
        <w:rPr>
          <w:rFonts w:cs="Calibri"/>
        </w:rPr>
        <w:t>« </w:t>
      </w:r>
      <w:r w:rsidRPr="00D43A62">
        <w:rPr>
          <w:rFonts w:cs="Calibri"/>
        </w:rPr>
        <w:t>L’islamophobie en France au regard du débat européen</w:t>
      </w:r>
      <w:r w:rsidR="00FF4E08" w:rsidRPr="00D43A62">
        <w:rPr>
          <w:rFonts w:cs="Calibri"/>
        </w:rPr>
        <w:t> »</w:t>
      </w:r>
      <w:r w:rsidRPr="00D43A62">
        <w:rPr>
          <w:rFonts w:cs="Calibri"/>
        </w:rPr>
        <w:t xml:space="preserve">, </w:t>
      </w:r>
      <w:r w:rsidRPr="00D43A62">
        <w:rPr>
          <w:rFonts w:cs="Calibri"/>
          <w:i/>
        </w:rPr>
        <w:t xml:space="preserve">in </w:t>
      </w:r>
      <w:r w:rsidRPr="00D43A62">
        <w:rPr>
          <w:rFonts w:cs="Calibri"/>
        </w:rPr>
        <w:t xml:space="preserve">Rémi </w:t>
      </w:r>
      <w:proofErr w:type="spellStart"/>
      <w:r w:rsidRPr="00D43A62">
        <w:rPr>
          <w:rFonts w:cs="Calibri"/>
        </w:rPr>
        <w:t>Leveau</w:t>
      </w:r>
      <w:proofErr w:type="spellEnd"/>
      <w:r w:rsidRPr="00D43A62">
        <w:rPr>
          <w:rFonts w:cs="Calibri"/>
        </w:rPr>
        <w:t xml:space="preserve"> et </w:t>
      </w:r>
      <w:proofErr w:type="spellStart"/>
      <w:r w:rsidRPr="00D43A62">
        <w:rPr>
          <w:rFonts w:cs="Calibri"/>
        </w:rPr>
        <w:t>Khadidja</w:t>
      </w:r>
      <w:proofErr w:type="spellEnd"/>
      <w:r w:rsidRPr="00D43A62">
        <w:rPr>
          <w:rFonts w:cs="Calibri"/>
        </w:rPr>
        <w:t xml:space="preserve"> Mohsen-</w:t>
      </w:r>
      <w:proofErr w:type="spellStart"/>
      <w:r w:rsidRPr="00D43A62">
        <w:rPr>
          <w:rFonts w:cs="Calibri"/>
        </w:rPr>
        <w:t>Finan</w:t>
      </w:r>
      <w:proofErr w:type="spellEnd"/>
      <w:r w:rsidRPr="00D43A62">
        <w:rPr>
          <w:rFonts w:cs="Calibri"/>
        </w:rPr>
        <w:t xml:space="preserve"> (</w:t>
      </w:r>
      <w:proofErr w:type="spellStart"/>
      <w:r w:rsidRPr="00D43A62">
        <w:rPr>
          <w:rFonts w:cs="Calibri"/>
        </w:rPr>
        <w:t>dir</w:t>
      </w:r>
      <w:proofErr w:type="spellEnd"/>
      <w:r w:rsidRPr="00D43A62">
        <w:rPr>
          <w:rFonts w:cs="Calibri"/>
        </w:rPr>
        <w:t xml:space="preserve">.), </w:t>
      </w:r>
      <w:r w:rsidRPr="00D43A62">
        <w:rPr>
          <w:rFonts w:cs="Calibri"/>
          <w:i/>
        </w:rPr>
        <w:t>Les Musulmans de France et d’Europe</w:t>
      </w:r>
      <w:r w:rsidRPr="00D43A62">
        <w:rPr>
          <w:rFonts w:cs="Calibri"/>
        </w:rPr>
        <w:t>, Paris, CNRS Éditions, 2005, p. 59-79.</w:t>
      </w:r>
    </w:p>
    <w:p w14:paraId="0E5FFD5D" w14:textId="4D5D6A3A" w:rsidR="00E567BB" w:rsidRPr="00D43A62" w:rsidRDefault="00000000" w:rsidP="00D43A62">
      <w:pPr>
        <w:pStyle w:val="Paragraphedeliste"/>
        <w:numPr>
          <w:ilvl w:val="0"/>
          <w:numId w:val="35"/>
        </w:numPr>
        <w:rPr>
          <w:rFonts w:cs="Calibri"/>
        </w:rPr>
      </w:pPr>
      <w:r w:rsidRPr="00D43A62">
        <w:rPr>
          <w:rFonts w:cs="Calibri"/>
        </w:rPr>
        <w:t xml:space="preserve">Marc-Olivier </w:t>
      </w:r>
      <w:proofErr w:type="spellStart"/>
      <w:r w:rsidRPr="00D43A62">
        <w:rPr>
          <w:rFonts w:cs="Calibri"/>
        </w:rPr>
        <w:t>Behrer</w:t>
      </w:r>
      <w:proofErr w:type="spellEnd"/>
      <w:r w:rsidRPr="00D43A62">
        <w:rPr>
          <w:rFonts w:cs="Calibri"/>
        </w:rPr>
        <w:t xml:space="preserve">, </w:t>
      </w:r>
      <w:r w:rsidR="00FF4E08" w:rsidRPr="00D43A62">
        <w:rPr>
          <w:rFonts w:cs="Calibri"/>
        </w:rPr>
        <w:t>« </w:t>
      </w:r>
      <w:r w:rsidRPr="00D43A62">
        <w:rPr>
          <w:rFonts w:cs="Calibri"/>
        </w:rPr>
        <w:t xml:space="preserve">Le </w:t>
      </w:r>
      <w:r w:rsidR="00ED058D">
        <w:rPr>
          <w:rFonts w:cs="Calibri"/>
        </w:rPr>
        <w:t>‘</w:t>
      </w:r>
      <w:r w:rsidRPr="00D43A62">
        <w:rPr>
          <w:rFonts w:cs="Calibri"/>
        </w:rPr>
        <w:t>grand remplacement</w:t>
      </w:r>
      <w:r w:rsidR="00ED058D">
        <w:rPr>
          <w:rFonts w:cs="Calibri"/>
        </w:rPr>
        <w:t>’</w:t>
      </w:r>
      <w:r w:rsidRPr="00D43A62">
        <w:rPr>
          <w:rFonts w:cs="Calibri"/>
        </w:rPr>
        <w:t>, généalogie d’un complotisme caméléon</w:t>
      </w:r>
      <w:r w:rsidR="00FF4E08" w:rsidRPr="00D43A62">
        <w:rPr>
          <w:rFonts w:cs="Calibri"/>
        </w:rPr>
        <w:t> »</w:t>
      </w:r>
      <w:r w:rsidRPr="00D43A62">
        <w:rPr>
          <w:rFonts w:cs="Calibri"/>
        </w:rPr>
        <w:t xml:space="preserve">, </w:t>
      </w:r>
      <w:r w:rsidRPr="00D43A62">
        <w:rPr>
          <w:rFonts w:cs="Calibri"/>
          <w:i/>
        </w:rPr>
        <w:t>Le Monde</w:t>
      </w:r>
      <w:r w:rsidRPr="00D43A62">
        <w:rPr>
          <w:rFonts w:cs="Calibri"/>
        </w:rPr>
        <w:t xml:space="preserve">, 25 août 2022 ; ACLU, </w:t>
      </w:r>
      <w:r w:rsidRPr="00D43A62">
        <w:rPr>
          <w:rFonts w:cs="Calibri"/>
          <w:i/>
        </w:rPr>
        <w:t xml:space="preserve">Timeline of the </w:t>
      </w:r>
      <w:proofErr w:type="spellStart"/>
      <w:r w:rsidRPr="00D43A62">
        <w:rPr>
          <w:rFonts w:cs="Calibri"/>
          <w:i/>
        </w:rPr>
        <w:t>Muslim</w:t>
      </w:r>
      <w:proofErr w:type="spellEnd"/>
      <w:r w:rsidRPr="00D43A62">
        <w:rPr>
          <w:rFonts w:cs="Calibri"/>
          <w:i/>
        </w:rPr>
        <w:t xml:space="preserve"> Ban</w:t>
      </w:r>
      <w:r w:rsidRPr="00D43A62">
        <w:rPr>
          <w:rFonts w:cs="Calibri"/>
        </w:rPr>
        <w:t xml:space="preserve">, Washington ; </w:t>
      </w:r>
      <w:proofErr w:type="spellStart"/>
      <w:r w:rsidRPr="00D43A62">
        <w:rPr>
          <w:rFonts w:cs="Calibri"/>
        </w:rPr>
        <w:t>Cady</w:t>
      </w:r>
      <w:proofErr w:type="spellEnd"/>
      <w:r w:rsidRPr="00D43A62">
        <w:rPr>
          <w:rFonts w:cs="Calibri"/>
        </w:rPr>
        <w:t xml:space="preserve"> Lang, </w:t>
      </w:r>
      <w:r w:rsidR="00FF4E08" w:rsidRPr="00D43A62">
        <w:rPr>
          <w:rFonts w:cs="Calibri"/>
        </w:rPr>
        <w:t>« </w:t>
      </w:r>
      <w:proofErr w:type="spellStart"/>
      <w:r w:rsidRPr="00D43A62">
        <w:rPr>
          <w:rFonts w:cs="Calibri"/>
        </w:rPr>
        <w:t>Who</w:t>
      </w:r>
      <w:proofErr w:type="spellEnd"/>
      <w:r w:rsidRPr="00D43A62">
        <w:rPr>
          <w:rFonts w:cs="Calibri"/>
        </w:rPr>
        <w:t xml:space="preserve"> </w:t>
      </w:r>
      <w:proofErr w:type="spellStart"/>
      <w:r w:rsidRPr="00D43A62">
        <w:rPr>
          <w:rFonts w:cs="Calibri"/>
        </w:rPr>
        <w:t>gets</w:t>
      </w:r>
      <w:proofErr w:type="spellEnd"/>
      <w:r w:rsidRPr="00D43A62">
        <w:rPr>
          <w:rFonts w:cs="Calibri"/>
        </w:rPr>
        <w:t xml:space="preserve"> to wear a </w:t>
      </w:r>
      <w:proofErr w:type="spellStart"/>
      <w:r w:rsidRPr="00D43A62">
        <w:rPr>
          <w:rFonts w:cs="Calibri"/>
        </w:rPr>
        <w:t>headscarf</w:t>
      </w:r>
      <w:proofErr w:type="spellEnd"/>
      <w:r w:rsidRPr="00D43A62">
        <w:rPr>
          <w:rFonts w:cs="Calibri"/>
        </w:rPr>
        <w:t xml:space="preserve">? The </w:t>
      </w:r>
      <w:proofErr w:type="spellStart"/>
      <w:r w:rsidRPr="00D43A62">
        <w:rPr>
          <w:rFonts w:cs="Calibri"/>
        </w:rPr>
        <w:t>complex</w:t>
      </w:r>
      <w:proofErr w:type="spellEnd"/>
      <w:r w:rsidRPr="00D43A62">
        <w:rPr>
          <w:rFonts w:cs="Calibri"/>
        </w:rPr>
        <w:t xml:space="preserve"> </w:t>
      </w:r>
      <w:proofErr w:type="spellStart"/>
      <w:r w:rsidRPr="00D43A62">
        <w:rPr>
          <w:rFonts w:cs="Calibri"/>
        </w:rPr>
        <w:t>hi</w:t>
      </w:r>
      <w:r w:rsidR="00ED058D">
        <w:rPr>
          <w:rFonts w:cs="Calibri"/>
        </w:rPr>
        <w:t>s</w:t>
      </w:r>
      <w:r w:rsidRPr="00D43A62">
        <w:rPr>
          <w:rFonts w:cs="Calibri"/>
        </w:rPr>
        <w:t>tory</w:t>
      </w:r>
      <w:proofErr w:type="spellEnd"/>
      <w:r w:rsidRPr="00D43A62">
        <w:rPr>
          <w:rFonts w:cs="Calibri"/>
        </w:rPr>
        <w:t xml:space="preserve"> </w:t>
      </w:r>
      <w:proofErr w:type="spellStart"/>
      <w:r w:rsidRPr="00D43A62">
        <w:rPr>
          <w:rFonts w:cs="Calibri"/>
        </w:rPr>
        <w:t>behind</w:t>
      </w:r>
      <w:proofErr w:type="spellEnd"/>
      <w:r w:rsidRPr="00D43A62">
        <w:rPr>
          <w:rFonts w:cs="Calibri"/>
        </w:rPr>
        <w:t xml:space="preserve"> </w:t>
      </w:r>
      <w:proofErr w:type="spellStart"/>
      <w:r w:rsidRPr="00D43A62">
        <w:rPr>
          <w:rFonts w:cs="Calibri"/>
        </w:rPr>
        <w:t>France’s</w:t>
      </w:r>
      <w:proofErr w:type="spellEnd"/>
      <w:r w:rsidRPr="00D43A62">
        <w:rPr>
          <w:rFonts w:cs="Calibri"/>
        </w:rPr>
        <w:t xml:space="preserve"> </w:t>
      </w:r>
      <w:proofErr w:type="spellStart"/>
      <w:r w:rsidRPr="00D43A62">
        <w:rPr>
          <w:rFonts w:cs="Calibri"/>
        </w:rPr>
        <w:t>latest</w:t>
      </w:r>
      <w:proofErr w:type="spellEnd"/>
      <w:r w:rsidR="001A578B" w:rsidRPr="00D43A62">
        <w:rPr>
          <w:rFonts w:cs="Calibri"/>
        </w:rPr>
        <w:t xml:space="preserve"> </w:t>
      </w:r>
      <w:r w:rsidRPr="00D43A62">
        <w:rPr>
          <w:rFonts w:cs="Calibri"/>
        </w:rPr>
        <w:t xml:space="preserve">hijab </w:t>
      </w:r>
      <w:proofErr w:type="spellStart"/>
      <w:r w:rsidRPr="00D43A62">
        <w:rPr>
          <w:rFonts w:cs="Calibri"/>
        </w:rPr>
        <w:t>controversery</w:t>
      </w:r>
      <w:proofErr w:type="spellEnd"/>
      <w:r w:rsidR="00FF4E08" w:rsidRPr="00D43A62">
        <w:rPr>
          <w:rFonts w:cs="Calibri"/>
        </w:rPr>
        <w:t> »</w:t>
      </w:r>
      <w:r w:rsidRPr="00D43A62">
        <w:rPr>
          <w:rFonts w:cs="Calibri"/>
        </w:rPr>
        <w:t xml:space="preserve">, </w:t>
      </w:r>
      <w:r w:rsidRPr="00D43A62">
        <w:rPr>
          <w:rFonts w:cs="Calibri"/>
          <w:i/>
        </w:rPr>
        <w:t>Time</w:t>
      </w:r>
      <w:r w:rsidRPr="00D43A62">
        <w:rPr>
          <w:rFonts w:cs="Calibri"/>
        </w:rPr>
        <w:t xml:space="preserve">, 19 mai 2021 ; </w:t>
      </w:r>
      <w:proofErr w:type="spellStart"/>
      <w:r w:rsidRPr="00D43A62">
        <w:rPr>
          <w:rFonts w:cs="Calibri"/>
        </w:rPr>
        <w:t>Arsalan</w:t>
      </w:r>
      <w:proofErr w:type="spellEnd"/>
      <w:r w:rsidRPr="00D43A62">
        <w:rPr>
          <w:rFonts w:cs="Calibri"/>
        </w:rPr>
        <w:t xml:space="preserve"> </w:t>
      </w:r>
      <w:proofErr w:type="spellStart"/>
      <w:r w:rsidRPr="00D43A62">
        <w:rPr>
          <w:rFonts w:cs="Calibri"/>
        </w:rPr>
        <w:t>Iftikhar</w:t>
      </w:r>
      <w:proofErr w:type="spellEnd"/>
      <w:r w:rsidRPr="00D43A62">
        <w:rPr>
          <w:rFonts w:cs="Calibri"/>
        </w:rPr>
        <w:t xml:space="preserve">, </w:t>
      </w:r>
      <w:r w:rsidR="00ED058D">
        <w:rPr>
          <w:rFonts w:cs="Calibri"/>
        </w:rPr>
        <w:t>« </w:t>
      </w:r>
      <w:r w:rsidRPr="00D43A62">
        <w:rPr>
          <w:rFonts w:cs="Calibri"/>
        </w:rPr>
        <w:t xml:space="preserve">German </w:t>
      </w:r>
      <w:proofErr w:type="spellStart"/>
      <w:r w:rsidRPr="00D43A62">
        <w:rPr>
          <w:rFonts w:cs="Calibri"/>
        </w:rPr>
        <w:t>ministry</w:t>
      </w:r>
      <w:proofErr w:type="spellEnd"/>
      <w:r w:rsidRPr="00D43A62">
        <w:rPr>
          <w:rFonts w:cs="Calibri"/>
        </w:rPr>
        <w:t xml:space="preserve"> issues 400- page report on </w:t>
      </w:r>
      <w:proofErr w:type="spellStart"/>
      <w:r w:rsidRPr="00D43A62">
        <w:rPr>
          <w:rFonts w:cs="Calibri"/>
        </w:rPr>
        <w:t>islamophobia</w:t>
      </w:r>
      <w:proofErr w:type="spellEnd"/>
      <w:r w:rsidR="00ED058D">
        <w:rPr>
          <w:rFonts w:cs="Calibri"/>
        </w:rPr>
        <w:t> »</w:t>
      </w:r>
      <w:r w:rsidRPr="00D43A62">
        <w:rPr>
          <w:rFonts w:cs="Calibri"/>
        </w:rPr>
        <w:t xml:space="preserve">, </w:t>
      </w:r>
      <w:r w:rsidRPr="00D43A62">
        <w:rPr>
          <w:rFonts w:cs="Calibri"/>
          <w:i/>
        </w:rPr>
        <w:t>Bridge</w:t>
      </w:r>
      <w:r w:rsidRPr="00D43A62">
        <w:rPr>
          <w:rFonts w:cs="Calibri"/>
        </w:rPr>
        <w:t xml:space="preserve">, Georgetown </w:t>
      </w:r>
      <w:proofErr w:type="spellStart"/>
      <w:r w:rsidRPr="00D43A62">
        <w:rPr>
          <w:rFonts w:cs="Calibri"/>
        </w:rPr>
        <w:t>University</w:t>
      </w:r>
      <w:proofErr w:type="spellEnd"/>
      <w:r w:rsidRPr="00D43A62">
        <w:rPr>
          <w:rFonts w:cs="Calibri"/>
        </w:rPr>
        <w:t xml:space="preserve">, 1er Février 2024 ; Ugo </w:t>
      </w:r>
      <w:proofErr w:type="spellStart"/>
      <w:r w:rsidRPr="00D43A62">
        <w:rPr>
          <w:rFonts w:cs="Calibri"/>
        </w:rPr>
        <w:t>Santkin</w:t>
      </w:r>
      <w:proofErr w:type="spellEnd"/>
      <w:r w:rsidRPr="00D43A62">
        <w:rPr>
          <w:rFonts w:cs="Calibri"/>
        </w:rPr>
        <w:t xml:space="preserve">, </w:t>
      </w:r>
      <w:r w:rsidR="00ED058D">
        <w:rPr>
          <w:rFonts w:cs="Calibri"/>
        </w:rPr>
        <w:t>« </w:t>
      </w:r>
      <w:r w:rsidRPr="00D43A62">
        <w:rPr>
          <w:rFonts w:cs="Calibri"/>
        </w:rPr>
        <w:t xml:space="preserve">Nationalité belge retirée à des enfants de parents palestiniens : </w:t>
      </w:r>
      <w:r w:rsidR="00ED058D">
        <w:rPr>
          <w:rFonts w:cs="Calibri"/>
        </w:rPr>
        <w:t>‘</w:t>
      </w:r>
      <w:r w:rsidRPr="00D43A62">
        <w:rPr>
          <w:rFonts w:cs="Calibri"/>
        </w:rPr>
        <w:t>Une décision sans précédent et profondément discriminante</w:t>
      </w:r>
      <w:r w:rsidR="00ED058D">
        <w:rPr>
          <w:rFonts w:cs="Calibri"/>
        </w:rPr>
        <w:t>’</w:t>
      </w:r>
      <w:r w:rsidR="00FF4E08" w:rsidRPr="00D43A62">
        <w:rPr>
          <w:rFonts w:cs="Calibri"/>
        </w:rPr>
        <w:t> »</w:t>
      </w:r>
      <w:r w:rsidRPr="00D43A62">
        <w:rPr>
          <w:rFonts w:cs="Calibri"/>
        </w:rPr>
        <w:t xml:space="preserve">, </w:t>
      </w:r>
      <w:r w:rsidRPr="00D43A62">
        <w:rPr>
          <w:rFonts w:cs="Calibri"/>
          <w:i/>
        </w:rPr>
        <w:t>Le Soir</w:t>
      </w:r>
      <w:r w:rsidRPr="00D43A62">
        <w:rPr>
          <w:rFonts w:cs="Calibri"/>
        </w:rPr>
        <w:t>, 7 décembre 2023.</w:t>
      </w:r>
    </w:p>
    <w:p w14:paraId="13878C30" w14:textId="4133EC7A" w:rsidR="00E567BB" w:rsidRPr="00D43A62" w:rsidRDefault="00000000" w:rsidP="00D43A62">
      <w:pPr>
        <w:pStyle w:val="Paragraphedeliste"/>
        <w:numPr>
          <w:ilvl w:val="0"/>
          <w:numId w:val="35"/>
        </w:numPr>
        <w:rPr>
          <w:rFonts w:cs="Calibri"/>
        </w:rPr>
      </w:pPr>
      <w:r w:rsidRPr="00D43A62">
        <w:rPr>
          <w:rFonts w:cs="Calibri"/>
        </w:rPr>
        <w:t xml:space="preserve">Laurence </w:t>
      </w:r>
      <w:proofErr w:type="spellStart"/>
      <w:r w:rsidRPr="00D43A62">
        <w:rPr>
          <w:rFonts w:cs="Calibri"/>
        </w:rPr>
        <w:t>Alexandrowicz</w:t>
      </w:r>
      <w:proofErr w:type="spellEnd"/>
      <w:r w:rsidRPr="00D43A62">
        <w:rPr>
          <w:rFonts w:cs="Calibri"/>
        </w:rPr>
        <w:t xml:space="preserve">, </w:t>
      </w:r>
      <w:r w:rsidR="00FF4E08" w:rsidRPr="00D43A62">
        <w:rPr>
          <w:rFonts w:cs="Calibri"/>
        </w:rPr>
        <w:t>« </w:t>
      </w:r>
      <w:r w:rsidRPr="00D43A62">
        <w:rPr>
          <w:rFonts w:cs="Calibri"/>
        </w:rPr>
        <w:t>Les associations dénoncent un traitement différent des réfugiés afghans et ukrainiens</w:t>
      </w:r>
      <w:r w:rsidR="00FF4E08" w:rsidRPr="00D43A62">
        <w:rPr>
          <w:rFonts w:cs="Calibri"/>
        </w:rPr>
        <w:t> »</w:t>
      </w:r>
      <w:r w:rsidRPr="00D43A62">
        <w:rPr>
          <w:rFonts w:cs="Calibri"/>
        </w:rPr>
        <w:t xml:space="preserve">, </w:t>
      </w:r>
      <w:r w:rsidRPr="00ED058D">
        <w:rPr>
          <w:rFonts w:cs="Calibri"/>
          <w:i/>
          <w:iCs/>
        </w:rPr>
        <w:t>Euronews</w:t>
      </w:r>
      <w:r w:rsidRPr="00D43A62">
        <w:rPr>
          <w:rFonts w:cs="Calibri"/>
        </w:rPr>
        <w:t>, 11 mai 2022.</w:t>
      </w:r>
    </w:p>
    <w:p w14:paraId="2C14654D" w14:textId="77777777" w:rsidR="00C43918" w:rsidRPr="00EB2911" w:rsidRDefault="00C43918" w:rsidP="00C43918">
      <w:pPr>
        <w:rPr>
          <w:rFonts w:cs="Calibri"/>
        </w:rPr>
      </w:pPr>
    </w:p>
    <w:p w14:paraId="257EFD70" w14:textId="77777777" w:rsidR="00C43918" w:rsidRPr="00EB2911" w:rsidRDefault="00C43918" w:rsidP="00C43918">
      <w:pPr>
        <w:jc w:val="center"/>
        <w:rPr>
          <w:rFonts w:cs="Calibri"/>
          <w:lang w:val="fr-CA"/>
        </w:rPr>
      </w:pPr>
      <w:r w:rsidRPr="00EB2911">
        <w:rPr>
          <w:rFonts w:cs="Calibri"/>
          <w:lang w:val="fr-CA"/>
        </w:rPr>
        <w:t>- o - o - o -</w:t>
      </w:r>
    </w:p>
    <w:p w14:paraId="595400B4" w14:textId="77777777" w:rsidR="00E567BB" w:rsidRPr="00EB2911" w:rsidRDefault="00E567BB" w:rsidP="001D50D4">
      <w:pPr>
        <w:rPr>
          <w:rFonts w:cs="Calibri"/>
        </w:rPr>
      </w:pPr>
    </w:p>
    <w:p w14:paraId="06ABEF08" w14:textId="25987F6A" w:rsidR="00E567BB" w:rsidRPr="00EB2911" w:rsidRDefault="00C43918" w:rsidP="00C43918">
      <w:pPr>
        <w:pStyle w:val="Titre1"/>
      </w:pPr>
      <w:bookmarkStart w:id="19" w:name="_Toc199350677"/>
      <w:r w:rsidRPr="00EB2911">
        <w:lastRenderedPageBreak/>
        <w:t>Ce ne sont pas les Palestiniens qui ont persécuté les Juifs pendant des siècles...</w:t>
      </w:r>
      <w:bookmarkEnd w:id="19"/>
    </w:p>
    <w:p w14:paraId="0CFDC021" w14:textId="66741E1F" w:rsidR="00E567BB" w:rsidRDefault="00000000" w:rsidP="001D50D4">
      <w:pPr>
        <w:rPr>
          <w:rFonts w:cs="Calibri"/>
        </w:rPr>
      </w:pPr>
      <w:r w:rsidRPr="00EB2911">
        <w:rPr>
          <w:rFonts w:cs="Calibri"/>
        </w:rPr>
        <w:t xml:space="preserve">Comme l’écrit le juriste israélien </w:t>
      </w:r>
      <w:proofErr w:type="spellStart"/>
      <w:r w:rsidRPr="00EB2911">
        <w:rPr>
          <w:rFonts w:cs="Calibri"/>
        </w:rPr>
        <w:t>Chaim</w:t>
      </w:r>
      <w:proofErr w:type="spellEnd"/>
      <w:r w:rsidRPr="00EB2911">
        <w:rPr>
          <w:rFonts w:cs="Calibri"/>
        </w:rPr>
        <w:t xml:space="preserve"> Gans, </w:t>
      </w:r>
      <w:r w:rsidR="00FF4E08" w:rsidRPr="00EB2911">
        <w:rPr>
          <w:rFonts w:cs="Calibri"/>
        </w:rPr>
        <w:t>« </w:t>
      </w:r>
      <w:r w:rsidRPr="00EB2911">
        <w:rPr>
          <w:rFonts w:cs="Calibri"/>
        </w:rPr>
        <w:t>ce ne sont pas les Palestiniens qui ont persécuté les Juifs de manière continue en Europe pendant le second millénaire, et ce n’est pas dans leur société que l’émancipation citoyenne des Juifs a tragiquement échoué aux XIXème et XXème siècles</w:t>
      </w:r>
      <w:r w:rsidR="00FF4E08" w:rsidRPr="00EB2911">
        <w:rPr>
          <w:rFonts w:cs="Calibri"/>
        </w:rPr>
        <w:t> »</w:t>
      </w:r>
      <w:r w:rsidRPr="00EB2911">
        <w:rPr>
          <w:rFonts w:cs="Calibri"/>
        </w:rPr>
        <w:t xml:space="preserve">. Dès lors, demande-t-il, </w:t>
      </w:r>
      <w:r w:rsidR="00FF4E08" w:rsidRPr="00EB2911">
        <w:rPr>
          <w:rFonts w:cs="Calibri"/>
        </w:rPr>
        <w:t>« </w:t>
      </w:r>
      <w:r w:rsidRPr="00EB2911">
        <w:rPr>
          <w:rFonts w:cs="Calibri"/>
        </w:rPr>
        <w:t>comment justifier qu’on leur en fasse payer le prix?</w:t>
      </w:r>
      <w:r w:rsidR="00FF4E08" w:rsidRPr="00EB2911">
        <w:rPr>
          <w:rFonts w:cs="Calibri"/>
        </w:rPr>
        <w:t> »</w:t>
      </w:r>
      <w:r w:rsidRPr="00EB2911">
        <w:rPr>
          <w:rFonts w:cs="Calibri"/>
        </w:rPr>
        <w:t xml:space="preserve"> (1). Probablement est-ce là l’ultime clé d’interprétation du consentement des pays occidentaux à l’écrasement de Gaza : l’expiation par procuration de leur participation à la destruction des Juifs d’Europe, fût-ce en laissant s’accomplir une seconde Nakba à l’encontre d’une population dont le monde avait déjà accepté le sacrifice.</w:t>
      </w:r>
      <w:r w:rsidR="00520D21">
        <w:rPr>
          <w:rStyle w:val="Appelnotedebasdep"/>
          <w:rFonts w:cs="Calibri"/>
        </w:rPr>
        <w:footnoteReference w:id="20"/>
      </w:r>
    </w:p>
    <w:p w14:paraId="1C9E14F5" w14:textId="77777777" w:rsidR="00520D21" w:rsidRPr="00EB2911" w:rsidRDefault="00520D21" w:rsidP="001D50D4">
      <w:pPr>
        <w:rPr>
          <w:rFonts w:cs="Calibri"/>
        </w:rPr>
      </w:pPr>
    </w:p>
    <w:p w14:paraId="7DC06AA1" w14:textId="3F251E42" w:rsidR="00E567BB" w:rsidRPr="00520D21" w:rsidRDefault="00000000" w:rsidP="00520D21">
      <w:pPr>
        <w:pStyle w:val="Paragraphedeliste"/>
        <w:numPr>
          <w:ilvl w:val="0"/>
          <w:numId w:val="36"/>
        </w:numPr>
        <w:rPr>
          <w:rFonts w:cs="Calibri"/>
          <w:lang w:val="en-US"/>
        </w:rPr>
      </w:pPr>
      <w:r w:rsidRPr="00520D21">
        <w:rPr>
          <w:rFonts w:cs="Calibri"/>
          <w:lang w:val="en-US"/>
        </w:rPr>
        <w:t xml:space="preserve">Chaim Gans, </w:t>
      </w:r>
      <w:r w:rsidR="00FF4E08" w:rsidRPr="00520D21">
        <w:rPr>
          <w:rFonts w:cs="Calibri"/>
          <w:lang w:val="en-US"/>
        </w:rPr>
        <w:t>« </w:t>
      </w:r>
      <w:r w:rsidRPr="00520D21">
        <w:rPr>
          <w:rFonts w:cs="Calibri"/>
          <w:lang w:val="en-US"/>
        </w:rPr>
        <w:t xml:space="preserve">Storms in the Negev 2023, or Why is Israel mocking history”, </w:t>
      </w:r>
      <w:r w:rsidRPr="00520D21">
        <w:rPr>
          <w:rFonts w:cs="Calibri"/>
          <w:i/>
          <w:lang w:val="en-US"/>
        </w:rPr>
        <w:t>Israel Studies</w:t>
      </w:r>
      <w:r w:rsidRPr="00520D21">
        <w:rPr>
          <w:rFonts w:cs="Calibri"/>
          <w:lang w:val="en-US"/>
        </w:rPr>
        <w:t>, 2023, 29 (1), p. 62-73.</w:t>
      </w:r>
    </w:p>
    <w:p w14:paraId="4A58664D" w14:textId="77777777" w:rsidR="00C43918" w:rsidRPr="00363F0F" w:rsidRDefault="00C43918" w:rsidP="00C43918">
      <w:pPr>
        <w:rPr>
          <w:rFonts w:cs="Calibri"/>
          <w:lang w:val="en-US"/>
        </w:rPr>
      </w:pPr>
    </w:p>
    <w:p w14:paraId="3C596466" w14:textId="77777777" w:rsidR="00C43918" w:rsidRPr="00EB2911" w:rsidRDefault="00C43918" w:rsidP="00C43918">
      <w:pPr>
        <w:jc w:val="center"/>
        <w:rPr>
          <w:rFonts w:cs="Calibri"/>
          <w:lang w:val="es-ES"/>
        </w:rPr>
      </w:pPr>
      <w:r w:rsidRPr="00EB2911">
        <w:rPr>
          <w:rFonts w:cs="Calibri"/>
          <w:lang w:val="es-ES"/>
        </w:rPr>
        <w:t>- o - o - o -</w:t>
      </w:r>
    </w:p>
    <w:p w14:paraId="32DDACC9" w14:textId="77777777" w:rsidR="00E567BB" w:rsidRPr="00EB2911" w:rsidRDefault="00E567BB" w:rsidP="001D50D4">
      <w:pPr>
        <w:rPr>
          <w:rFonts w:cs="Calibri"/>
          <w:lang w:val="es-ES"/>
        </w:rPr>
      </w:pPr>
    </w:p>
    <w:p w14:paraId="47BBA0EB" w14:textId="2E4F0E98" w:rsidR="00E567BB" w:rsidRPr="00CC7372" w:rsidRDefault="00000000" w:rsidP="00DB0E24">
      <w:pPr>
        <w:pStyle w:val="Titre1"/>
        <w:rPr>
          <w:lang w:val="es-ES"/>
        </w:rPr>
      </w:pPr>
      <w:bookmarkStart w:id="20" w:name="_Toc199350678"/>
      <w:r w:rsidRPr="00CC7372">
        <w:rPr>
          <w:lang w:val="es-ES"/>
        </w:rPr>
        <w:t xml:space="preserve">La </w:t>
      </w:r>
      <w:proofErr w:type="spellStart"/>
      <w:r w:rsidRPr="00CC7372">
        <w:rPr>
          <w:lang w:val="es-ES"/>
        </w:rPr>
        <w:t>crise</w:t>
      </w:r>
      <w:proofErr w:type="spellEnd"/>
      <w:r w:rsidRPr="00CC7372">
        <w:rPr>
          <w:lang w:val="es-ES"/>
        </w:rPr>
        <w:t xml:space="preserve"> </w:t>
      </w:r>
      <w:proofErr w:type="spellStart"/>
      <w:r w:rsidRPr="00CC7372">
        <w:rPr>
          <w:lang w:val="es-ES"/>
        </w:rPr>
        <w:t>morale</w:t>
      </w:r>
      <w:proofErr w:type="spellEnd"/>
      <w:r w:rsidRPr="00CC7372">
        <w:rPr>
          <w:lang w:val="es-ES"/>
        </w:rPr>
        <w:t xml:space="preserve"> </w:t>
      </w:r>
      <w:proofErr w:type="spellStart"/>
      <w:r w:rsidRPr="00CC7372">
        <w:rPr>
          <w:lang w:val="es-ES"/>
        </w:rPr>
        <w:t>occidentale</w:t>
      </w:r>
      <w:bookmarkEnd w:id="20"/>
      <w:proofErr w:type="spellEnd"/>
    </w:p>
    <w:p w14:paraId="582817C4" w14:textId="640D11A4" w:rsidR="00E567BB" w:rsidRDefault="00000000" w:rsidP="001D50D4">
      <w:pPr>
        <w:rPr>
          <w:rFonts w:cs="Calibri"/>
        </w:rPr>
      </w:pPr>
      <w:r w:rsidRPr="00EB2911">
        <w:rPr>
          <w:rFonts w:cs="Calibri"/>
        </w:rPr>
        <w:t>La crise actuelle est l’une des plus profondes qu’</w:t>
      </w:r>
      <w:r w:rsidR="003A46A0">
        <w:rPr>
          <w:rFonts w:cs="Calibri"/>
        </w:rPr>
        <w:t>a</w:t>
      </w:r>
      <w:r w:rsidRPr="00EB2911">
        <w:rPr>
          <w:rFonts w:cs="Calibri"/>
        </w:rPr>
        <w:t xml:space="preserve"> connues le monde depuis ce moment, il y a près de huit décennies, où l’on a proclamé </w:t>
      </w:r>
      <w:r w:rsidR="00FF4E08" w:rsidRPr="00EB2911">
        <w:rPr>
          <w:rFonts w:cs="Calibri"/>
        </w:rPr>
        <w:t>« </w:t>
      </w:r>
      <w:r w:rsidRPr="00EB2911">
        <w:rPr>
          <w:rFonts w:cs="Calibri"/>
        </w:rPr>
        <w:t>Plus jamais ça</w:t>
      </w:r>
      <w:r w:rsidR="00FF4E08" w:rsidRPr="00EB2911">
        <w:rPr>
          <w:rFonts w:cs="Calibri"/>
        </w:rPr>
        <w:t> »</w:t>
      </w:r>
      <w:r w:rsidRPr="00EB2911">
        <w:rPr>
          <w:rFonts w:cs="Calibri"/>
        </w:rPr>
        <w:t xml:space="preserve">. Il n’est pas ici question de la situation à Gaza, car on ne peut pas appeler </w:t>
      </w:r>
      <w:r w:rsidR="00FF4E08" w:rsidRPr="00EB2911">
        <w:rPr>
          <w:rFonts w:cs="Calibri"/>
        </w:rPr>
        <w:t>« </w:t>
      </w:r>
      <w:r w:rsidRPr="00EB2911">
        <w:rPr>
          <w:rFonts w:cs="Calibri"/>
        </w:rPr>
        <w:t>crise</w:t>
      </w:r>
      <w:r w:rsidR="00FF4E08" w:rsidRPr="00EB2911">
        <w:rPr>
          <w:rFonts w:cs="Calibri"/>
        </w:rPr>
        <w:t> »</w:t>
      </w:r>
      <w:r w:rsidRPr="00EB2911">
        <w:rPr>
          <w:rFonts w:cs="Calibri"/>
        </w:rPr>
        <w:t xml:space="preserve"> une opération militaire de destruction d’un peuple en tant que tel, de sa mémoire, de sa culture matérielle, de la possibilité d’exister de ses membres – que les juristes et les historiens décident ou non de la qualifier un jour de</w:t>
      </w:r>
      <w:r w:rsidR="00CE3F2C">
        <w:rPr>
          <w:rFonts w:cs="Calibri"/>
        </w:rPr>
        <w:t xml:space="preserve"> </w:t>
      </w:r>
      <w:r w:rsidR="00FF4E08" w:rsidRPr="00EB2911">
        <w:rPr>
          <w:rFonts w:cs="Calibri"/>
        </w:rPr>
        <w:t>« génocide », au terme de luttes de pouvoir symbolique dans lesquelles les gouvernements occidentaux mettront tout leur poids pour s’y opposer. Même parler de « crise humanitaire », malgré l’enjeu légitime de faire valoir le droit à la survie d’hommes, de femmes et d’enfants réduits à des conditions extrêmes et d’exiger l’accès à l’assistance minimale dont on les a privés, revient à éviter de nommer ce qui est, en désignant les effets sans en dire la cause, et à justifier une demande de « couloirs et pauses humanitaires » tout en laissant se poursuivre les bombardements de civils dans l’apparent respect du droit international (1).</w:t>
      </w:r>
    </w:p>
    <w:p w14:paraId="699E81F0" w14:textId="77777777" w:rsidR="00CE3F2C" w:rsidRPr="00EB2911" w:rsidRDefault="00CE3F2C" w:rsidP="001D50D4">
      <w:pPr>
        <w:rPr>
          <w:rFonts w:cs="Calibri"/>
        </w:rPr>
      </w:pPr>
    </w:p>
    <w:p w14:paraId="09B8C0DF" w14:textId="7382D16E" w:rsidR="00E567BB" w:rsidRDefault="00000000" w:rsidP="001D50D4">
      <w:pPr>
        <w:rPr>
          <w:rFonts w:cs="Calibri"/>
        </w:rPr>
      </w:pPr>
      <w:r w:rsidRPr="00EB2911">
        <w:rPr>
          <w:rFonts w:cs="Calibri"/>
        </w:rPr>
        <w:t>Non, la crise dont il est question concerne le monde qui a assisté avec indifférence à l’effacement progressif des Territoires palestiniens occupés depuis plus d’un demi-siècle et qui a</w:t>
      </w:r>
      <w:r w:rsidR="00EF357E">
        <w:rPr>
          <w:rFonts w:cs="Calibri"/>
        </w:rPr>
        <w:t xml:space="preserve"> </w:t>
      </w:r>
      <w:r w:rsidRPr="00EB2911">
        <w:rPr>
          <w:rFonts w:cs="Calibri"/>
        </w:rPr>
        <w:t>laissé se produire en quelques mois la disparition brutale d’une partie de ce qui les définit. Pour ce qui est des pays européens, nord-américains et quelques autres, il ne s’est pas agi simplement de passivité, mais de soutien politique et militaire inconditionnel à Israël. Cette alliance a suscité l’indignation de celles et ceux qui, tout en condamnant les actes sanglants qui l’avaient déclenché, mais en rappelant les décennies d’oppression qui les avaient précédés, refusaient de laisser le massacre être perpétré, mais qu’on a stigmatisés et réprimés.</w:t>
      </w:r>
      <w:r w:rsidR="005831CA">
        <w:rPr>
          <w:rStyle w:val="Appelnotedebasdep"/>
          <w:rFonts w:cs="Calibri"/>
        </w:rPr>
        <w:footnoteReference w:id="21"/>
      </w:r>
    </w:p>
    <w:p w14:paraId="2F58E7AB" w14:textId="77777777" w:rsidR="00F73E8C" w:rsidRDefault="00F73E8C" w:rsidP="001D50D4">
      <w:pPr>
        <w:rPr>
          <w:rFonts w:cs="Calibri"/>
        </w:rPr>
      </w:pPr>
    </w:p>
    <w:p w14:paraId="76F88764" w14:textId="77777777" w:rsidR="005831CA" w:rsidRPr="00F73E8C" w:rsidRDefault="005831CA" w:rsidP="00F73E8C">
      <w:pPr>
        <w:pStyle w:val="Paragraphedeliste"/>
        <w:numPr>
          <w:ilvl w:val="0"/>
          <w:numId w:val="37"/>
        </w:numPr>
        <w:rPr>
          <w:rFonts w:cs="Calibri"/>
        </w:rPr>
      </w:pPr>
      <w:r w:rsidRPr="00F73E8C">
        <w:rPr>
          <w:rFonts w:cs="Calibri"/>
          <w:lang w:val="en-US"/>
        </w:rPr>
        <w:t xml:space="preserve">Heidi </w:t>
      </w:r>
      <w:proofErr w:type="spellStart"/>
      <w:r w:rsidRPr="00F73E8C">
        <w:rPr>
          <w:rFonts w:cs="Calibri"/>
          <w:lang w:val="en-US"/>
        </w:rPr>
        <w:t>Mogstad</w:t>
      </w:r>
      <w:proofErr w:type="spellEnd"/>
      <w:r w:rsidRPr="00F73E8C">
        <w:rPr>
          <w:rFonts w:cs="Calibri"/>
          <w:lang w:val="en-US"/>
        </w:rPr>
        <w:t xml:space="preserve">, « Gaza is not a humanitarian crisis: On self-defense, depoliticizing language and contextualization”, Bergen, Christian Michelsen Institute, 2023. </w:t>
      </w:r>
      <w:r w:rsidRPr="00F73E8C">
        <w:rPr>
          <w:rFonts w:cs="Calibri"/>
        </w:rPr>
        <w:t>“Le cauchemar à Gaza est plus qu’une crise humanitaire, a déclaré, de son côté, le secrétaire général des Nations unies.</w:t>
      </w:r>
    </w:p>
    <w:p w14:paraId="343EFDA2" w14:textId="77777777" w:rsidR="00C43918" w:rsidRPr="00EB2911" w:rsidRDefault="00C43918" w:rsidP="00C43918">
      <w:pPr>
        <w:rPr>
          <w:rFonts w:cs="Calibri"/>
        </w:rPr>
      </w:pPr>
    </w:p>
    <w:p w14:paraId="6F9510FE" w14:textId="77777777" w:rsidR="00C43918" w:rsidRPr="00EB2911" w:rsidRDefault="00C43918" w:rsidP="00C43918">
      <w:pPr>
        <w:jc w:val="center"/>
        <w:rPr>
          <w:rFonts w:cs="Calibri"/>
          <w:lang w:val="fr-CA"/>
        </w:rPr>
      </w:pPr>
      <w:r w:rsidRPr="00EB2911">
        <w:rPr>
          <w:rFonts w:cs="Calibri"/>
          <w:lang w:val="fr-CA"/>
        </w:rPr>
        <w:t>- o - o - o -</w:t>
      </w:r>
    </w:p>
    <w:p w14:paraId="5ED21FAC" w14:textId="77777777" w:rsidR="00E567BB" w:rsidRPr="00EB2911" w:rsidRDefault="00E567BB" w:rsidP="001D50D4">
      <w:pPr>
        <w:rPr>
          <w:rFonts w:cs="Calibri"/>
        </w:rPr>
      </w:pPr>
    </w:p>
    <w:p w14:paraId="3E15EC3E" w14:textId="6E9C1FB1" w:rsidR="00E567BB" w:rsidRPr="00EB2911" w:rsidRDefault="00C43918" w:rsidP="00C43918">
      <w:pPr>
        <w:pStyle w:val="Titre1"/>
      </w:pPr>
      <w:bookmarkStart w:id="21" w:name="_Toc199350679"/>
      <w:r w:rsidRPr="00EB2911">
        <w:lastRenderedPageBreak/>
        <w:t xml:space="preserve">Quand on appelle </w:t>
      </w:r>
      <w:r w:rsidR="00FF4E08" w:rsidRPr="00EB2911">
        <w:t>« </w:t>
      </w:r>
      <w:r w:rsidRPr="00EB2911">
        <w:t>antisémites</w:t>
      </w:r>
      <w:r w:rsidR="00FF4E08" w:rsidRPr="00EB2911">
        <w:t> »</w:t>
      </w:r>
      <w:r w:rsidRPr="00EB2911">
        <w:t xml:space="preserve"> les demandes d’arrêter de tuer des civils</w:t>
      </w:r>
      <w:bookmarkEnd w:id="21"/>
    </w:p>
    <w:p w14:paraId="6A14C96F" w14:textId="4E545FEE" w:rsidR="00E567BB" w:rsidRDefault="00000000" w:rsidP="001D50D4">
      <w:pPr>
        <w:rPr>
          <w:rFonts w:cs="Calibri"/>
        </w:rPr>
      </w:pPr>
      <w:r w:rsidRPr="00EB2911">
        <w:rPr>
          <w:rFonts w:cs="Calibri"/>
        </w:rPr>
        <w:t xml:space="preserve">Le langage a été abîmé quand on a appelé </w:t>
      </w:r>
      <w:r w:rsidR="00FF4E08" w:rsidRPr="00EB2911">
        <w:rPr>
          <w:rFonts w:cs="Calibri"/>
        </w:rPr>
        <w:t>« </w:t>
      </w:r>
      <w:r w:rsidRPr="00EB2911">
        <w:rPr>
          <w:rFonts w:cs="Calibri"/>
        </w:rPr>
        <w:t>antisémites</w:t>
      </w:r>
      <w:r w:rsidR="00FF4E08" w:rsidRPr="00EB2911">
        <w:rPr>
          <w:rFonts w:cs="Calibri"/>
        </w:rPr>
        <w:t> »</w:t>
      </w:r>
      <w:r w:rsidRPr="00EB2911">
        <w:rPr>
          <w:rFonts w:cs="Calibri"/>
        </w:rPr>
        <w:t xml:space="preserve"> les demandes d’arrêter de tuer des civils, </w:t>
      </w:r>
      <w:r w:rsidR="00FF4E08" w:rsidRPr="00EB2911">
        <w:rPr>
          <w:rFonts w:cs="Calibri"/>
        </w:rPr>
        <w:t>« </w:t>
      </w:r>
      <w:r w:rsidRPr="00EB2911">
        <w:rPr>
          <w:rFonts w:cs="Calibri"/>
        </w:rPr>
        <w:t>morale</w:t>
      </w:r>
      <w:r w:rsidR="00FF4E08" w:rsidRPr="00EB2911">
        <w:rPr>
          <w:rFonts w:cs="Calibri"/>
        </w:rPr>
        <w:t> »</w:t>
      </w:r>
      <w:r w:rsidRPr="00EB2911">
        <w:rPr>
          <w:rFonts w:cs="Calibri"/>
        </w:rPr>
        <w:t xml:space="preserve"> une armée qui déshumanise ses ennemis, </w:t>
      </w:r>
      <w:r w:rsidR="00FF4E08" w:rsidRPr="00EB2911">
        <w:rPr>
          <w:rFonts w:cs="Calibri"/>
        </w:rPr>
        <w:t>« </w:t>
      </w:r>
      <w:r w:rsidRPr="00EB2911">
        <w:rPr>
          <w:rFonts w:cs="Calibri"/>
        </w:rPr>
        <w:t>riposte</w:t>
      </w:r>
      <w:r w:rsidR="00FF4E08" w:rsidRPr="00EB2911">
        <w:rPr>
          <w:rFonts w:cs="Calibri"/>
        </w:rPr>
        <w:t> »</w:t>
      </w:r>
      <w:r w:rsidRPr="00EB2911">
        <w:rPr>
          <w:rFonts w:cs="Calibri"/>
        </w:rPr>
        <w:t xml:space="preserve"> une entreprise d’anéantissement, </w:t>
      </w:r>
      <w:r w:rsidR="00FF4E08" w:rsidRPr="00EB2911">
        <w:rPr>
          <w:rFonts w:cs="Calibri"/>
        </w:rPr>
        <w:t>« </w:t>
      </w:r>
      <w:r w:rsidRPr="00EB2911">
        <w:rPr>
          <w:rFonts w:cs="Calibri"/>
        </w:rPr>
        <w:t>guerre Israël-Hamas</w:t>
      </w:r>
      <w:r w:rsidR="00FF4E08" w:rsidRPr="00EB2911">
        <w:rPr>
          <w:rFonts w:cs="Calibri"/>
        </w:rPr>
        <w:t> »</w:t>
      </w:r>
      <w:r w:rsidRPr="00EB2911">
        <w:rPr>
          <w:rFonts w:cs="Calibri"/>
        </w:rPr>
        <w:t xml:space="preserve"> une opération militaire ouvertement menée contre les civils palestiniens. La pensée a été étouffée lorsqu’on a empêché les débats, interdit des conférences, annulé des expositions, imposé des procureurs pour garantir l’orthodoxie, eu recours aux forces de l’ordre pour réprimer des étudiants sur les </w:t>
      </w:r>
      <w:proofErr w:type="gramStart"/>
      <w:r w:rsidRPr="00EB2911">
        <w:rPr>
          <w:rFonts w:cs="Calibri"/>
        </w:rPr>
        <w:t>campus universitaires</w:t>
      </w:r>
      <w:proofErr w:type="gramEnd"/>
      <w:r w:rsidRPr="00EB2911">
        <w:rPr>
          <w:rFonts w:cs="Calibri"/>
        </w:rPr>
        <w:t xml:space="preserve">, fait entrer des politiciens dans les établissements d’enseignement supérieur. Une pesante atmosphère de suspicion et d’accusation a mis en danger la liberté d’expression. Une tentative de détournement des mots et d’inversion des valeurs a mis à l’épreuve l’intelligence politique et le discernement moral. Dans un texte intitulé </w:t>
      </w:r>
      <w:r w:rsidR="00FF4E08" w:rsidRPr="00EB2911">
        <w:rPr>
          <w:rFonts w:cs="Calibri"/>
        </w:rPr>
        <w:t>« </w:t>
      </w:r>
      <w:r w:rsidRPr="00EB2911">
        <w:rPr>
          <w:rFonts w:cs="Calibri"/>
        </w:rPr>
        <w:t>Qui sont les assassins de la mémoire?</w:t>
      </w:r>
      <w:r w:rsidR="00FF4E08" w:rsidRPr="00EB2911">
        <w:rPr>
          <w:rFonts w:cs="Calibri"/>
        </w:rPr>
        <w:t> »</w:t>
      </w:r>
      <w:r w:rsidRPr="00EB2911">
        <w:rPr>
          <w:rFonts w:cs="Calibri"/>
        </w:rPr>
        <w:t xml:space="preserve">, Pierre Vidal-Naquet analysait la manière dont l’utilisation d’un </w:t>
      </w:r>
      <w:r w:rsidR="00FF4E08" w:rsidRPr="00EB2911">
        <w:rPr>
          <w:rFonts w:cs="Calibri"/>
        </w:rPr>
        <w:t>« </w:t>
      </w:r>
      <w:r w:rsidRPr="00EB2911">
        <w:rPr>
          <w:rFonts w:cs="Calibri"/>
        </w:rPr>
        <w:t>langage codé</w:t>
      </w:r>
      <w:r w:rsidR="00FF4E08" w:rsidRPr="00EB2911">
        <w:rPr>
          <w:rFonts w:cs="Calibri"/>
        </w:rPr>
        <w:t> »</w:t>
      </w:r>
      <w:r w:rsidRPr="00EB2911">
        <w:rPr>
          <w:rFonts w:cs="Calibri"/>
        </w:rPr>
        <w:t xml:space="preserve"> avait servi, à diverses époques, les stratégies discursives de réécriture de l’histoire, citant Thucydide à propos de la guerre du Péloponnèse : </w:t>
      </w:r>
      <w:r w:rsidR="00FF4E08" w:rsidRPr="00EB2911">
        <w:rPr>
          <w:rFonts w:cs="Calibri"/>
        </w:rPr>
        <w:t>« </w:t>
      </w:r>
      <w:r w:rsidRPr="00EB2911">
        <w:rPr>
          <w:rFonts w:cs="Calibri"/>
        </w:rPr>
        <w:t>On changera jusqu’au sens usuel des mots par rapport aux actes dans les justifications qu’on en donnait (1).</w:t>
      </w:r>
      <w:r w:rsidR="00FF4E08" w:rsidRPr="00EB2911">
        <w:rPr>
          <w:rFonts w:cs="Calibri"/>
        </w:rPr>
        <w:t> »</w:t>
      </w:r>
      <w:r w:rsidRPr="00EB2911">
        <w:rPr>
          <w:rFonts w:cs="Calibri"/>
        </w:rPr>
        <w:t xml:space="preserve"> Ces falsifications justifient qu’avec humilité mais détermination les sciences sociales fassent entendre leur vérité, quelque fragile qu’elle soit (2).</w:t>
      </w:r>
      <w:r w:rsidR="000660A9">
        <w:rPr>
          <w:rStyle w:val="Appelnotedebasdep"/>
          <w:rFonts w:cs="Calibri"/>
        </w:rPr>
        <w:footnoteReference w:id="22"/>
      </w:r>
    </w:p>
    <w:p w14:paraId="42B532F7" w14:textId="77777777" w:rsidR="000660A9" w:rsidRPr="00EB2911" w:rsidRDefault="000660A9" w:rsidP="001D50D4">
      <w:pPr>
        <w:rPr>
          <w:rFonts w:cs="Calibri"/>
        </w:rPr>
      </w:pPr>
    </w:p>
    <w:p w14:paraId="3A808908" w14:textId="7F57F526" w:rsidR="00E567BB" w:rsidRPr="00B24B82" w:rsidRDefault="00000000" w:rsidP="00B24B82">
      <w:pPr>
        <w:pStyle w:val="Paragraphedeliste"/>
        <w:numPr>
          <w:ilvl w:val="0"/>
          <w:numId w:val="38"/>
        </w:numPr>
        <w:rPr>
          <w:rFonts w:cs="Calibri"/>
        </w:rPr>
      </w:pPr>
      <w:r w:rsidRPr="00B24B82">
        <w:rPr>
          <w:rFonts w:cs="Calibri"/>
        </w:rPr>
        <w:t xml:space="preserve">Pierre Vidal-Naquet, </w:t>
      </w:r>
      <w:r w:rsidR="00FF4E08" w:rsidRPr="00B24B82">
        <w:rPr>
          <w:rFonts w:cs="Calibri"/>
        </w:rPr>
        <w:t>« </w:t>
      </w:r>
      <w:r w:rsidRPr="00B24B82">
        <w:rPr>
          <w:rFonts w:cs="Calibri"/>
        </w:rPr>
        <w:t>Qui sont les assassins de la mémoire?</w:t>
      </w:r>
      <w:r w:rsidR="00FF4E08" w:rsidRPr="00B24B82">
        <w:rPr>
          <w:rFonts w:cs="Calibri"/>
        </w:rPr>
        <w:t> »</w:t>
      </w:r>
      <w:r w:rsidRPr="00B24B82">
        <w:rPr>
          <w:rFonts w:cs="Calibri"/>
        </w:rPr>
        <w:t xml:space="preserve">, in </w:t>
      </w:r>
      <w:r w:rsidRPr="00B24B82">
        <w:rPr>
          <w:rFonts w:cs="Calibri"/>
          <w:i/>
        </w:rPr>
        <w:t>Réflexion sur le génocide. Les juifs, la mémoire et le présent</w:t>
      </w:r>
      <w:r w:rsidRPr="00B24B82">
        <w:rPr>
          <w:rFonts w:cs="Calibri"/>
        </w:rPr>
        <w:t>, t. III, Paris, La Découverte, 1995.</w:t>
      </w:r>
    </w:p>
    <w:p w14:paraId="7015CC59" w14:textId="77777777" w:rsidR="00E567BB" w:rsidRPr="00B24B82" w:rsidRDefault="00000000" w:rsidP="00B24B82">
      <w:pPr>
        <w:pStyle w:val="Paragraphedeliste"/>
        <w:numPr>
          <w:ilvl w:val="0"/>
          <w:numId w:val="38"/>
        </w:numPr>
        <w:rPr>
          <w:rFonts w:cs="Calibri"/>
        </w:rPr>
      </w:pPr>
      <w:r w:rsidRPr="00B24B82">
        <w:rPr>
          <w:rFonts w:cs="Calibri"/>
        </w:rPr>
        <w:t xml:space="preserve">Didier </w:t>
      </w:r>
      <w:proofErr w:type="spellStart"/>
      <w:r w:rsidRPr="00B24B82">
        <w:rPr>
          <w:rFonts w:cs="Calibri"/>
        </w:rPr>
        <w:t>Fassin</w:t>
      </w:r>
      <w:proofErr w:type="spellEnd"/>
      <w:r w:rsidRPr="00B24B82">
        <w:rPr>
          <w:rFonts w:cs="Calibri"/>
        </w:rPr>
        <w:t xml:space="preserve">, </w:t>
      </w:r>
      <w:r w:rsidRPr="00B24B82">
        <w:rPr>
          <w:rFonts w:cs="Calibri"/>
          <w:i/>
        </w:rPr>
        <w:t>Sciences sociales par temps de crise</w:t>
      </w:r>
      <w:r w:rsidRPr="00B24B82">
        <w:rPr>
          <w:rFonts w:cs="Calibri"/>
        </w:rPr>
        <w:t>, Paris, Fayard-Collège de France, 2023.</w:t>
      </w:r>
    </w:p>
    <w:p w14:paraId="29E12A3A" w14:textId="77777777" w:rsidR="00C43918" w:rsidRPr="00EB2911" w:rsidRDefault="00C43918" w:rsidP="00C43918">
      <w:pPr>
        <w:rPr>
          <w:rFonts w:cs="Calibri"/>
        </w:rPr>
      </w:pPr>
    </w:p>
    <w:p w14:paraId="3E1DAFC3" w14:textId="77777777" w:rsidR="00C43918" w:rsidRPr="00EB2911" w:rsidRDefault="00C43918" w:rsidP="00C43918">
      <w:pPr>
        <w:jc w:val="center"/>
        <w:rPr>
          <w:rFonts w:cs="Calibri"/>
          <w:lang w:val="fr-CA"/>
        </w:rPr>
      </w:pPr>
      <w:r w:rsidRPr="00EB2911">
        <w:rPr>
          <w:rFonts w:cs="Calibri"/>
          <w:lang w:val="fr-CA"/>
        </w:rPr>
        <w:t>- o - o - o -</w:t>
      </w:r>
    </w:p>
    <w:p w14:paraId="13ECAAA1" w14:textId="77777777" w:rsidR="00C43918" w:rsidRPr="00EB2911" w:rsidRDefault="00C43918" w:rsidP="00C43918">
      <w:pPr>
        <w:rPr>
          <w:rFonts w:cs="Calibri"/>
          <w:lang w:val="fr-CA"/>
        </w:rPr>
      </w:pPr>
    </w:p>
    <w:p w14:paraId="7973BD78" w14:textId="01892588" w:rsidR="00E567BB" w:rsidRPr="00EB2911" w:rsidRDefault="0021246F" w:rsidP="0021246F">
      <w:pPr>
        <w:pStyle w:val="Titre1"/>
      </w:pPr>
      <w:bookmarkStart w:id="22" w:name="_Toc199350680"/>
      <w:r>
        <w:t xml:space="preserve">Si je dois mourir, un poème </w:t>
      </w:r>
      <w:r w:rsidR="00C25BF6">
        <w:t>de</w:t>
      </w:r>
      <w:r>
        <w:t xml:space="preserve"> </w:t>
      </w:r>
      <w:proofErr w:type="spellStart"/>
      <w:r w:rsidRPr="0021246F">
        <w:t>Refaat</w:t>
      </w:r>
      <w:proofErr w:type="spellEnd"/>
      <w:r w:rsidRPr="0021246F">
        <w:t xml:space="preserve"> </w:t>
      </w:r>
      <w:proofErr w:type="spellStart"/>
      <w:r w:rsidRPr="0021246F">
        <w:t>Alareer</w:t>
      </w:r>
      <w:bookmarkEnd w:id="22"/>
      <w:proofErr w:type="spellEnd"/>
    </w:p>
    <w:p w14:paraId="1D83B20F" w14:textId="77777777" w:rsidR="0021246F" w:rsidRDefault="00000000" w:rsidP="001D50D4">
      <w:pPr>
        <w:rPr>
          <w:rFonts w:cs="Calibri"/>
        </w:rPr>
      </w:pPr>
      <w:r w:rsidRPr="00EB2911">
        <w:rPr>
          <w:rFonts w:cs="Calibri"/>
        </w:rPr>
        <w:t xml:space="preserve">Si je dois mourir, </w:t>
      </w:r>
    </w:p>
    <w:p w14:paraId="603F360B" w14:textId="356FCFCD" w:rsidR="00E567BB" w:rsidRPr="00EB2911" w:rsidRDefault="00000000" w:rsidP="001D50D4">
      <w:pPr>
        <w:rPr>
          <w:rFonts w:cs="Calibri"/>
        </w:rPr>
      </w:pPr>
      <w:r w:rsidRPr="00EB2911">
        <w:rPr>
          <w:rFonts w:cs="Calibri"/>
        </w:rPr>
        <w:t>tu dois vivre</w:t>
      </w:r>
    </w:p>
    <w:p w14:paraId="5695FFEF" w14:textId="67666B37" w:rsidR="00E567BB" w:rsidRPr="00EB2911" w:rsidRDefault="00000000" w:rsidP="001D50D4">
      <w:pPr>
        <w:rPr>
          <w:rFonts w:cs="Calibri"/>
        </w:rPr>
      </w:pPr>
      <w:r w:rsidRPr="00EB2911">
        <w:rPr>
          <w:rFonts w:cs="Calibri"/>
        </w:rPr>
        <w:t>pour raconter mon histoire</w:t>
      </w:r>
    </w:p>
    <w:p w14:paraId="007904B1" w14:textId="77777777" w:rsidR="00E567BB" w:rsidRPr="00EB2911" w:rsidRDefault="00000000" w:rsidP="001D50D4">
      <w:pPr>
        <w:rPr>
          <w:rFonts w:cs="Calibri"/>
        </w:rPr>
      </w:pPr>
      <w:r w:rsidRPr="00EB2911">
        <w:rPr>
          <w:rFonts w:cs="Calibri"/>
        </w:rPr>
        <w:t>pour vendre mes affaires</w:t>
      </w:r>
    </w:p>
    <w:p w14:paraId="6D3A120D" w14:textId="77777777" w:rsidR="0021246F" w:rsidRDefault="00000000" w:rsidP="001D50D4">
      <w:pPr>
        <w:rPr>
          <w:rFonts w:cs="Calibri"/>
        </w:rPr>
      </w:pPr>
      <w:r w:rsidRPr="00EB2911">
        <w:rPr>
          <w:rFonts w:cs="Calibri"/>
        </w:rPr>
        <w:t>pour acheter un morceau de tissu</w:t>
      </w:r>
    </w:p>
    <w:p w14:paraId="3DB5B5CB" w14:textId="5CF63AC9" w:rsidR="00E567BB" w:rsidRPr="00EB2911" w:rsidRDefault="00000000" w:rsidP="001D50D4">
      <w:pPr>
        <w:rPr>
          <w:rFonts w:cs="Calibri"/>
        </w:rPr>
      </w:pPr>
      <w:r w:rsidRPr="00EB2911">
        <w:rPr>
          <w:rFonts w:cs="Calibri"/>
        </w:rPr>
        <w:t>et quelques ficelles,</w:t>
      </w:r>
    </w:p>
    <w:p w14:paraId="7F0C0F20" w14:textId="77777777" w:rsidR="00E567BB" w:rsidRPr="00EB2911" w:rsidRDefault="00000000" w:rsidP="001D50D4">
      <w:pPr>
        <w:rPr>
          <w:rFonts w:cs="Calibri"/>
        </w:rPr>
      </w:pPr>
      <w:r w:rsidRPr="00EB2911">
        <w:rPr>
          <w:rFonts w:cs="Calibri"/>
        </w:rPr>
        <w:t>(fais-le blanc avec une longue traîne)</w:t>
      </w:r>
    </w:p>
    <w:p w14:paraId="50C3251A" w14:textId="77777777" w:rsidR="0021246F" w:rsidRDefault="00000000" w:rsidP="001D50D4">
      <w:pPr>
        <w:rPr>
          <w:rFonts w:cs="Calibri"/>
        </w:rPr>
      </w:pPr>
      <w:r w:rsidRPr="00EB2911">
        <w:rPr>
          <w:rFonts w:cs="Calibri"/>
        </w:rPr>
        <w:t>pour qu’ainsi un enfant quelque part dans Gaza</w:t>
      </w:r>
    </w:p>
    <w:p w14:paraId="0CAD36E3" w14:textId="32F73543" w:rsidR="00E567BB" w:rsidRPr="00EB2911" w:rsidRDefault="00000000" w:rsidP="001D50D4">
      <w:pPr>
        <w:rPr>
          <w:rFonts w:cs="Calibri"/>
        </w:rPr>
      </w:pPr>
      <w:r w:rsidRPr="00EB2911">
        <w:rPr>
          <w:rFonts w:cs="Calibri"/>
        </w:rPr>
        <w:t>en regardant le ciel dans les yeux</w:t>
      </w:r>
    </w:p>
    <w:p w14:paraId="28A6954C" w14:textId="77777777" w:rsidR="0021246F" w:rsidRDefault="00000000" w:rsidP="001D50D4">
      <w:pPr>
        <w:rPr>
          <w:rFonts w:cs="Calibri"/>
        </w:rPr>
      </w:pPr>
      <w:r w:rsidRPr="00EB2911">
        <w:rPr>
          <w:rFonts w:cs="Calibri"/>
        </w:rPr>
        <w:t>en attendant son père parti dans un éclat –</w:t>
      </w:r>
    </w:p>
    <w:p w14:paraId="6C1F6A78" w14:textId="068B4A1B" w:rsidR="00E567BB" w:rsidRPr="00EB2911" w:rsidRDefault="00000000" w:rsidP="001D50D4">
      <w:pPr>
        <w:rPr>
          <w:rFonts w:cs="Calibri"/>
        </w:rPr>
      </w:pPr>
      <w:r w:rsidRPr="00EB2911">
        <w:rPr>
          <w:rFonts w:cs="Calibri"/>
        </w:rPr>
        <w:t>sans dire adieu à personne</w:t>
      </w:r>
    </w:p>
    <w:p w14:paraId="1AE84996" w14:textId="77777777" w:rsidR="0021246F" w:rsidRDefault="00000000" w:rsidP="001D50D4">
      <w:pPr>
        <w:rPr>
          <w:rFonts w:cs="Calibri"/>
        </w:rPr>
      </w:pPr>
      <w:r w:rsidRPr="00EB2911">
        <w:rPr>
          <w:rFonts w:cs="Calibri"/>
        </w:rPr>
        <w:t>pas même à sa chair</w:t>
      </w:r>
    </w:p>
    <w:p w14:paraId="0C446CCA" w14:textId="1C30E5B0" w:rsidR="00E567BB" w:rsidRPr="00EB2911" w:rsidRDefault="00000000" w:rsidP="001D50D4">
      <w:pPr>
        <w:rPr>
          <w:rFonts w:cs="Calibri"/>
        </w:rPr>
      </w:pPr>
      <w:r w:rsidRPr="00EB2911">
        <w:rPr>
          <w:rFonts w:cs="Calibri"/>
        </w:rPr>
        <w:t>pas même à lui-même –</w:t>
      </w:r>
    </w:p>
    <w:p w14:paraId="4A017845" w14:textId="3A902A68" w:rsidR="0021246F" w:rsidRDefault="00000000" w:rsidP="001D50D4">
      <w:pPr>
        <w:rPr>
          <w:rFonts w:cs="Calibri"/>
        </w:rPr>
      </w:pPr>
      <w:r w:rsidRPr="00EB2911">
        <w:rPr>
          <w:rFonts w:cs="Calibri"/>
        </w:rPr>
        <w:t>vo</w:t>
      </w:r>
      <w:r w:rsidR="00FA726E">
        <w:rPr>
          <w:rFonts w:cs="Calibri"/>
        </w:rPr>
        <w:t>i</w:t>
      </w:r>
      <w:r w:rsidRPr="00EB2911">
        <w:rPr>
          <w:rFonts w:cs="Calibri"/>
        </w:rPr>
        <w:t>e le cerf-volant, mon cerf-volant que tu auras fait, flottant là-haut</w:t>
      </w:r>
    </w:p>
    <w:p w14:paraId="380E4A24" w14:textId="7E52CFF9" w:rsidR="00E567BB" w:rsidRPr="00EB2911" w:rsidRDefault="00000000" w:rsidP="001D50D4">
      <w:pPr>
        <w:rPr>
          <w:rFonts w:cs="Calibri"/>
        </w:rPr>
      </w:pPr>
      <w:r w:rsidRPr="00EB2911">
        <w:rPr>
          <w:rFonts w:cs="Calibri"/>
        </w:rPr>
        <w:t>et pense un instant qu’un ange est là</w:t>
      </w:r>
    </w:p>
    <w:p w14:paraId="173F08DE" w14:textId="77777777" w:rsidR="00E567BB" w:rsidRPr="00EB2911" w:rsidRDefault="00000000" w:rsidP="001D50D4">
      <w:pPr>
        <w:rPr>
          <w:rFonts w:cs="Calibri"/>
        </w:rPr>
      </w:pPr>
      <w:r w:rsidRPr="00EB2911">
        <w:rPr>
          <w:rFonts w:cs="Calibri"/>
        </w:rPr>
        <w:t>pour faire revivre l’amour.</w:t>
      </w:r>
    </w:p>
    <w:p w14:paraId="6843F28E" w14:textId="77777777" w:rsidR="00E567BB" w:rsidRPr="00EB2911" w:rsidRDefault="00000000" w:rsidP="001D50D4">
      <w:pPr>
        <w:rPr>
          <w:rFonts w:cs="Calibri"/>
        </w:rPr>
      </w:pPr>
      <w:r w:rsidRPr="00EB2911">
        <w:rPr>
          <w:rFonts w:cs="Calibri"/>
        </w:rPr>
        <w:t>Si je dois mourir</w:t>
      </w:r>
    </w:p>
    <w:p w14:paraId="1118FFAA" w14:textId="77777777" w:rsidR="0021246F" w:rsidRDefault="00000000" w:rsidP="001D50D4">
      <w:pPr>
        <w:rPr>
          <w:rFonts w:cs="Calibri"/>
        </w:rPr>
      </w:pPr>
      <w:r w:rsidRPr="00EB2911">
        <w:rPr>
          <w:rFonts w:cs="Calibri"/>
        </w:rPr>
        <w:t>qu’il en naisse de l’espoir</w:t>
      </w:r>
    </w:p>
    <w:p w14:paraId="11BD1D7C" w14:textId="46C5108E" w:rsidR="00E567BB" w:rsidRPr="00EB2911" w:rsidRDefault="00000000" w:rsidP="001D50D4">
      <w:pPr>
        <w:rPr>
          <w:rFonts w:cs="Calibri"/>
        </w:rPr>
      </w:pPr>
      <w:r w:rsidRPr="00EB2911">
        <w:rPr>
          <w:rFonts w:cs="Calibri"/>
        </w:rPr>
        <w:t>qu’il en reste une histoire.</w:t>
      </w:r>
    </w:p>
    <w:p w14:paraId="29A62B23" w14:textId="77777777" w:rsidR="00DB26CE" w:rsidRPr="00EB2911" w:rsidRDefault="00DB26CE" w:rsidP="001D50D4">
      <w:pPr>
        <w:rPr>
          <w:rFonts w:cs="Calibri"/>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8900"/>
      </w:tblGrid>
      <w:tr w:rsidR="00EA3922" w14:paraId="3F426011" w14:textId="77777777" w:rsidTr="00EA3922">
        <w:tc>
          <w:tcPr>
            <w:tcW w:w="9040" w:type="dxa"/>
            <w:shd w:val="clear" w:color="auto" w:fill="FDE9D9" w:themeFill="accent6" w:themeFillTint="33"/>
          </w:tcPr>
          <w:p w14:paraId="61161370" w14:textId="3D37FF57" w:rsidR="00EA3922" w:rsidRPr="00EA3922" w:rsidRDefault="00EA3922" w:rsidP="00C25BF6">
            <w:pPr>
              <w:keepNext/>
              <w:keepLines/>
              <w:spacing w:after="60"/>
              <w:contextualSpacing w:val="0"/>
              <w:rPr>
                <w:rFonts w:cs="Calibri"/>
                <w:b/>
                <w:bCs/>
                <w:lang w:val="fr-CA"/>
              </w:rPr>
            </w:pPr>
            <w:r w:rsidRPr="00EA3922">
              <w:rPr>
                <w:rFonts w:cs="Calibri"/>
                <w:b/>
                <w:bCs/>
                <w:lang w:val="fr-CA"/>
              </w:rPr>
              <w:lastRenderedPageBreak/>
              <w:t>Poème écrit avant la mort de l’auteur lors d’une frappe aérienne de l’armée israélienne</w:t>
            </w:r>
          </w:p>
          <w:p w14:paraId="532BFE67" w14:textId="56D91561" w:rsidR="00EA3922" w:rsidRDefault="00EA3922" w:rsidP="001D50D4">
            <w:pPr>
              <w:rPr>
                <w:rFonts w:cs="Calibri"/>
              </w:rPr>
            </w:pPr>
            <w:r w:rsidRPr="00EA3922">
              <w:rPr>
                <w:rFonts w:cs="Calibri"/>
                <w:lang w:val="en-US"/>
              </w:rPr>
              <w:t xml:space="preserve">« ‘If I must Die’: A poem by Refaat Alareer », </w:t>
            </w:r>
            <w:r w:rsidRPr="00EA3922">
              <w:rPr>
                <w:rFonts w:cs="Calibri"/>
                <w:i/>
                <w:iCs/>
                <w:lang w:val="en-US"/>
              </w:rPr>
              <w:t>In These Times</w:t>
            </w:r>
            <w:r w:rsidRPr="00EA3922">
              <w:rPr>
                <w:rFonts w:cs="Calibri"/>
                <w:lang w:val="en-US"/>
              </w:rPr>
              <w:t xml:space="preserve">, 27 </w:t>
            </w:r>
            <w:proofErr w:type="spellStart"/>
            <w:r w:rsidRPr="00EA3922">
              <w:rPr>
                <w:rFonts w:cs="Calibri"/>
                <w:lang w:val="en-US"/>
              </w:rPr>
              <w:t>décembre</w:t>
            </w:r>
            <w:proofErr w:type="spellEnd"/>
            <w:r w:rsidRPr="00EA3922">
              <w:rPr>
                <w:rFonts w:cs="Calibri"/>
                <w:lang w:val="en-US"/>
              </w:rPr>
              <w:t xml:space="preserve"> 2023. </w:t>
            </w:r>
            <w:r w:rsidRPr="00EB2911">
              <w:rPr>
                <w:rFonts w:cs="Calibri"/>
              </w:rPr>
              <w:t>Le titre et le</w:t>
            </w:r>
            <w:r>
              <w:rPr>
                <w:rFonts w:cs="Calibri"/>
              </w:rPr>
              <w:t xml:space="preserve"> </w:t>
            </w:r>
            <w:r w:rsidRPr="00EB2911">
              <w:rPr>
                <w:rFonts w:cs="Calibri"/>
              </w:rPr>
              <w:t xml:space="preserve">premier vers sont une réminiscence et un hommage au poème « If </w:t>
            </w:r>
            <w:proofErr w:type="spellStart"/>
            <w:r w:rsidRPr="00EB2911">
              <w:rPr>
                <w:rFonts w:cs="Calibri"/>
              </w:rPr>
              <w:t>We</w:t>
            </w:r>
            <w:proofErr w:type="spellEnd"/>
            <w:r w:rsidRPr="00EB2911">
              <w:rPr>
                <w:rFonts w:cs="Calibri"/>
              </w:rPr>
              <w:t xml:space="preserve"> Must Die » de Claude McKay, écrivain jamaïcain-états-unien, qui le composa en 1919 dans le contexte du Red Summer au cours duquel des personnes noires ont été victimes d’attaques racistes qui ont fait des centaines de morts. Faire voler des cerfs-volants est une activité prisée des enfants palestiniens, et, même au plus fort de la guerre, certains ont réussi à en trouver le plaisir entre deux exodes ou entre deux bombardements</w:t>
            </w:r>
            <w:r>
              <w:rPr>
                <w:rFonts w:cs="Calibri"/>
              </w:rPr>
              <w:t> </w:t>
            </w:r>
            <w:r w:rsidRPr="00EB2911">
              <w:rPr>
                <w:rFonts w:cs="Calibri"/>
              </w:rPr>
              <w:t xml:space="preserve">: </w:t>
            </w:r>
            <w:proofErr w:type="spellStart"/>
            <w:r w:rsidRPr="00EB2911">
              <w:rPr>
                <w:rFonts w:cs="Calibri"/>
              </w:rPr>
              <w:t>Ruwaida</w:t>
            </w:r>
            <w:proofErr w:type="spellEnd"/>
            <w:r w:rsidRPr="00EB2911">
              <w:rPr>
                <w:rFonts w:cs="Calibri"/>
              </w:rPr>
              <w:t xml:space="preserve"> Amer, « Kites </w:t>
            </w:r>
            <w:proofErr w:type="spellStart"/>
            <w:r w:rsidRPr="00EB2911">
              <w:rPr>
                <w:rFonts w:cs="Calibri"/>
              </w:rPr>
              <w:t>fill</w:t>
            </w:r>
            <w:proofErr w:type="spellEnd"/>
            <w:r w:rsidRPr="00EB2911">
              <w:rPr>
                <w:rFonts w:cs="Calibri"/>
              </w:rPr>
              <w:t xml:space="preserve"> </w:t>
            </w:r>
            <w:proofErr w:type="spellStart"/>
            <w:r w:rsidRPr="00EB2911">
              <w:rPr>
                <w:rFonts w:cs="Calibri"/>
              </w:rPr>
              <w:t>Rafah’s</w:t>
            </w:r>
            <w:proofErr w:type="spellEnd"/>
            <w:r w:rsidRPr="00EB2911">
              <w:rPr>
                <w:rFonts w:cs="Calibri"/>
              </w:rPr>
              <w:t xml:space="preserve"> skies, a </w:t>
            </w:r>
            <w:proofErr w:type="spellStart"/>
            <w:r w:rsidRPr="00EB2911">
              <w:rPr>
                <w:rFonts w:cs="Calibri"/>
              </w:rPr>
              <w:t>symbol</w:t>
            </w:r>
            <w:proofErr w:type="spellEnd"/>
            <w:r w:rsidRPr="00EB2911">
              <w:rPr>
                <w:rFonts w:cs="Calibri"/>
              </w:rPr>
              <w:t xml:space="preserve"> of </w:t>
            </w:r>
            <w:proofErr w:type="spellStart"/>
            <w:r w:rsidRPr="00EB2911">
              <w:rPr>
                <w:rFonts w:cs="Calibri"/>
              </w:rPr>
              <w:t>hope</w:t>
            </w:r>
            <w:proofErr w:type="spellEnd"/>
            <w:r w:rsidRPr="00EB2911">
              <w:rPr>
                <w:rFonts w:cs="Calibri"/>
              </w:rPr>
              <w:t xml:space="preserve"> </w:t>
            </w:r>
            <w:proofErr w:type="spellStart"/>
            <w:r w:rsidRPr="00EB2911">
              <w:rPr>
                <w:rFonts w:cs="Calibri"/>
              </w:rPr>
              <w:t>amid</w:t>
            </w:r>
            <w:proofErr w:type="spellEnd"/>
            <w:r w:rsidRPr="00EB2911">
              <w:rPr>
                <w:rFonts w:cs="Calibri"/>
              </w:rPr>
              <w:t xml:space="preserve"> </w:t>
            </w:r>
            <w:proofErr w:type="spellStart"/>
            <w:r w:rsidRPr="00EB2911">
              <w:rPr>
                <w:rFonts w:cs="Calibri"/>
              </w:rPr>
              <w:t>Israel’s</w:t>
            </w:r>
            <w:proofErr w:type="spellEnd"/>
            <w:r w:rsidRPr="00EB2911">
              <w:rPr>
                <w:rFonts w:cs="Calibri"/>
              </w:rPr>
              <w:t xml:space="preserve"> </w:t>
            </w:r>
            <w:proofErr w:type="spellStart"/>
            <w:r w:rsidRPr="00EB2911">
              <w:rPr>
                <w:rFonts w:cs="Calibri"/>
              </w:rPr>
              <w:t>war</w:t>
            </w:r>
            <w:proofErr w:type="spellEnd"/>
            <w:r w:rsidRPr="00EB2911">
              <w:rPr>
                <w:rFonts w:cs="Calibri"/>
              </w:rPr>
              <w:t xml:space="preserve"> on Gaza », </w:t>
            </w:r>
            <w:proofErr w:type="spellStart"/>
            <w:r w:rsidRPr="00C81C6B">
              <w:rPr>
                <w:rFonts w:cs="Calibri"/>
                <w:i/>
                <w:iCs/>
              </w:rPr>
              <w:t>Aljazeera</w:t>
            </w:r>
            <w:proofErr w:type="spellEnd"/>
            <w:r w:rsidRPr="00EB2911">
              <w:rPr>
                <w:rFonts w:cs="Calibri"/>
              </w:rPr>
              <w:t>, 20 février 2024. On peut y voir un symbole d’espoir, en effet, mais peut-être aussi une ultime résistance de ces enfants, infime et décisive, face au projet de les faire dispara</w:t>
            </w:r>
            <w:r>
              <w:rPr>
                <w:rFonts w:cs="Calibri"/>
              </w:rPr>
              <w:t>î</w:t>
            </w:r>
            <w:r w:rsidRPr="00EB2911">
              <w:rPr>
                <w:rFonts w:cs="Calibri"/>
              </w:rPr>
              <w:t>tre.</w:t>
            </w:r>
          </w:p>
          <w:p w14:paraId="1EEB2DA2" w14:textId="0B67560E" w:rsidR="00EA3922" w:rsidRPr="00EA3922" w:rsidRDefault="00EA3922" w:rsidP="00EA3922">
            <w:pPr>
              <w:jc w:val="right"/>
              <w:rPr>
                <w:rFonts w:cs="Calibri"/>
                <w:i/>
                <w:iCs/>
                <w:sz w:val="21"/>
                <w:szCs w:val="21"/>
              </w:rPr>
            </w:pPr>
            <w:r w:rsidRPr="00EA3922">
              <w:rPr>
                <w:rFonts w:cs="Calibri"/>
                <w:i/>
                <w:iCs/>
                <w:sz w:val="21"/>
                <w:szCs w:val="21"/>
              </w:rPr>
              <w:t xml:space="preserve">Source : </w:t>
            </w:r>
            <w:hyperlink r:id="rId8" w:history="1">
              <w:r w:rsidRPr="00EA3922">
                <w:rPr>
                  <w:rStyle w:val="Hyperlien"/>
                  <w:rFonts w:cs="Calibri"/>
                  <w:i/>
                  <w:iCs/>
                  <w:sz w:val="21"/>
                  <w:szCs w:val="21"/>
                </w:rPr>
                <w:t>https://inthesetimes.com/article/refaat-alareer-israeli-occupation-palestine</w:t>
              </w:r>
            </w:hyperlink>
            <w:r w:rsidRPr="00EA3922">
              <w:rPr>
                <w:rFonts w:cs="Calibri"/>
                <w:i/>
                <w:iCs/>
                <w:sz w:val="21"/>
                <w:szCs w:val="21"/>
              </w:rPr>
              <w:t xml:space="preserve"> </w:t>
            </w:r>
          </w:p>
        </w:tc>
      </w:tr>
    </w:tbl>
    <w:p w14:paraId="1F20E71B" w14:textId="48D374C2" w:rsidR="00E567BB" w:rsidRDefault="00E567BB" w:rsidP="001D50D4">
      <w:pPr>
        <w:rPr>
          <w:rFonts w:cs="Calibri"/>
        </w:rPr>
      </w:pPr>
    </w:p>
    <w:p w14:paraId="1635E5D4" w14:textId="77777777" w:rsidR="00EA3922" w:rsidRDefault="00EA3922" w:rsidP="001D50D4">
      <w:pPr>
        <w:rPr>
          <w:rFonts w:cs="Calibri"/>
        </w:rPr>
      </w:pPr>
    </w:p>
    <w:p w14:paraId="291D1C96" w14:textId="77777777" w:rsidR="00EA3922" w:rsidRPr="00EB2911" w:rsidRDefault="00EA3922" w:rsidP="001D50D4">
      <w:pPr>
        <w:rPr>
          <w:rFonts w:cs="Calibri"/>
        </w:rPr>
      </w:pPr>
    </w:p>
    <w:sectPr w:rsidR="00EA3922" w:rsidRPr="00EB2911">
      <w:footerReference w:type="default" r:id="rId9"/>
      <w:pgSz w:w="12240" w:h="15840"/>
      <w:pgMar w:top="1400" w:right="1640" w:bottom="920" w:left="170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67BF" w14:textId="77777777" w:rsidR="00340706" w:rsidRDefault="00340706">
      <w:r>
        <w:separator/>
      </w:r>
    </w:p>
  </w:endnote>
  <w:endnote w:type="continuationSeparator" w:id="0">
    <w:p w14:paraId="01DDA56F" w14:textId="77777777" w:rsidR="00340706" w:rsidRDefault="0034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0AF6" w14:textId="77777777" w:rsidR="00D00501" w:rsidRDefault="00D00501">
    <w:pPr>
      <w:pStyle w:val="Pieddepage"/>
      <w:jc w:val="center"/>
      <w:rPr>
        <w:caps/>
        <w:color w:val="4F81BD" w:themeColor="accent1"/>
      </w:rPr>
    </w:pPr>
  </w:p>
  <w:p w14:paraId="05568903" w14:textId="67DBD8E0" w:rsidR="00D00501" w:rsidRPr="00D00501" w:rsidRDefault="00D00501">
    <w:pPr>
      <w:pStyle w:val="Pieddepage"/>
      <w:jc w:val="center"/>
      <w:rPr>
        <w:caps/>
        <w:color w:val="4F81BD" w:themeColor="accent1"/>
        <w:sz w:val="20"/>
        <w:szCs w:val="20"/>
      </w:rPr>
    </w:pPr>
    <w:r w:rsidRPr="00D00501">
      <w:rPr>
        <w:caps/>
        <w:color w:val="4F81BD" w:themeColor="accent1"/>
        <w:sz w:val="20"/>
        <w:szCs w:val="20"/>
      </w:rPr>
      <w:fldChar w:fldCharType="begin"/>
    </w:r>
    <w:r w:rsidRPr="00D00501">
      <w:rPr>
        <w:caps/>
        <w:color w:val="4F81BD" w:themeColor="accent1"/>
        <w:sz w:val="20"/>
        <w:szCs w:val="20"/>
      </w:rPr>
      <w:instrText>PAGE   \* MERGEFORMAT</w:instrText>
    </w:r>
    <w:r w:rsidRPr="00D00501">
      <w:rPr>
        <w:caps/>
        <w:color w:val="4F81BD" w:themeColor="accent1"/>
        <w:sz w:val="20"/>
        <w:szCs w:val="20"/>
      </w:rPr>
      <w:fldChar w:fldCharType="separate"/>
    </w:r>
    <w:r w:rsidRPr="00D00501">
      <w:rPr>
        <w:caps/>
        <w:color w:val="4F81BD" w:themeColor="accent1"/>
        <w:sz w:val="20"/>
        <w:szCs w:val="20"/>
      </w:rPr>
      <w:t>2</w:t>
    </w:r>
    <w:r w:rsidRPr="00D00501">
      <w:rPr>
        <w:caps/>
        <w:color w:val="4F81BD" w:themeColor="accent1"/>
        <w:sz w:val="20"/>
        <w:szCs w:val="20"/>
      </w:rPr>
      <w:fldChar w:fldCharType="end"/>
    </w:r>
  </w:p>
  <w:p w14:paraId="091B71FA" w14:textId="77777777" w:rsidR="00D00501" w:rsidRDefault="00D0050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37364" w14:textId="77777777" w:rsidR="00340706" w:rsidRDefault="00340706">
      <w:r>
        <w:separator/>
      </w:r>
    </w:p>
  </w:footnote>
  <w:footnote w:type="continuationSeparator" w:id="0">
    <w:p w14:paraId="580D3242" w14:textId="77777777" w:rsidR="00340706" w:rsidRDefault="00340706">
      <w:r>
        <w:continuationSeparator/>
      </w:r>
    </w:p>
  </w:footnote>
  <w:footnote w:id="1">
    <w:p w14:paraId="6BC91DEC" w14:textId="3AA4C8CC" w:rsidR="00CB74A1" w:rsidRPr="00CB74A1" w:rsidRDefault="00CB74A1">
      <w:pPr>
        <w:pStyle w:val="Notedebasdepage"/>
        <w:rPr>
          <w:lang w:val="fr-CA"/>
        </w:rPr>
      </w:pPr>
      <w:r>
        <w:rPr>
          <w:rStyle w:val="Appelnotedebasdep"/>
        </w:rPr>
        <w:footnoteRef/>
      </w:r>
      <w:r>
        <w:t xml:space="preserve"> </w:t>
      </w:r>
      <w:r w:rsidRPr="00CB74A1">
        <w:t xml:space="preserve">Didier </w:t>
      </w:r>
      <w:proofErr w:type="spellStart"/>
      <w:r w:rsidRPr="00CB74A1">
        <w:t>Fassin</w:t>
      </w:r>
      <w:proofErr w:type="spellEnd"/>
      <w:r w:rsidRPr="00CB74A1">
        <w:t>, Une étrange défaite, Sur le consentement à l’écrasement de Gaza, pages 13 et 14.</w:t>
      </w:r>
    </w:p>
  </w:footnote>
  <w:footnote w:id="2">
    <w:p w14:paraId="5CDB83FF" w14:textId="0C268EAA" w:rsidR="005373A3" w:rsidRPr="005373A3" w:rsidRDefault="005373A3">
      <w:pPr>
        <w:pStyle w:val="Notedebasdepage"/>
        <w:rPr>
          <w:lang w:val="fr-CA"/>
        </w:rPr>
      </w:pPr>
      <w:r>
        <w:rPr>
          <w:rStyle w:val="Appelnotedebasdep"/>
        </w:rPr>
        <w:footnoteRef/>
      </w:r>
      <w:r>
        <w:t xml:space="preserve"> </w:t>
      </w:r>
      <w:r w:rsidRPr="005373A3">
        <w:t xml:space="preserve">Didier </w:t>
      </w:r>
      <w:proofErr w:type="spellStart"/>
      <w:r w:rsidRPr="005373A3">
        <w:t>Fassin</w:t>
      </w:r>
      <w:proofErr w:type="spellEnd"/>
      <w:r w:rsidRPr="005373A3">
        <w:t>, Une étrange défaite, Sur le consentement à l’écrasement de Gaza, pages 19 à 21.</w:t>
      </w:r>
    </w:p>
  </w:footnote>
  <w:footnote w:id="3">
    <w:p w14:paraId="3A336691" w14:textId="7D925548" w:rsidR="005373A3" w:rsidRPr="005373A3" w:rsidRDefault="005373A3">
      <w:pPr>
        <w:pStyle w:val="Notedebasdepage"/>
        <w:rPr>
          <w:lang w:val="fr-CA"/>
        </w:rPr>
      </w:pPr>
      <w:r>
        <w:rPr>
          <w:rStyle w:val="Appelnotedebasdep"/>
        </w:rPr>
        <w:footnoteRef/>
      </w:r>
      <w:r>
        <w:t xml:space="preserve"> </w:t>
      </w:r>
      <w:r w:rsidRPr="005373A3">
        <w:t xml:space="preserve">Didier </w:t>
      </w:r>
      <w:proofErr w:type="spellStart"/>
      <w:r w:rsidRPr="005373A3">
        <w:t>Fassin</w:t>
      </w:r>
      <w:proofErr w:type="spellEnd"/>
      <w:r w:rsidRPr="005373A3">
        <w:t>, Une étrange défaite, Sur le consentement à l’écrasement de Gaza, pages 34 et 35.</w:t>
      </w:r>
    </w:p>
  </w:footnote>
  <w:footnote w:id="4">
    <w:p w14:paraId="46D63EE2" w14:textId="43D91FFF" w:rsidR="00A33C30" w:rsidRPr="00A33C30" w:rsidRDefault="00A33C30">
      <w:pPr>
        <w:pStyle w:val="Notedebasdepage"/>
        <w:rPr>
          <w:lang w:val="fr-CA"/>
        </w:rPr>
      </w:pPr>
      <w:r>
        <w:rPr>
          <w:rStyle w:val="Appelnotedebasdep"/>
        </w:rPr>
        <w:footnoteRef/>
      </w:r>
      <w:r>
        <w:t xml:space="preserve"> </w:t>
      </w:r>
      <w:r w:rsidRPr="00A33C30">
        <w:t xml:space="preserve">Didier </w:t>
      </w:r>
      <w:proofErr w:type="spellStart"/>
      <w:r w:rsidRPr="00A33C30">
        <w:t>Fassin</w:t>
      </w:r>
      <w:proofErr w:type="spellEnd"/>
      <w:r w:rsidRPr="00A33C30">
        <w:t>, Une étrange défaite, Sur le consentement à l’écrasement de Gaza, page 43.</w:t>
      </w:r>
    </w:p>
  </w:footnote>
  <w:footnote w:id="5">
    <w:p w14:paraId="26F09B20" w14:textId="51004571" w:rsidR="006E4B57" w:rsidRPr="006E4B57" w:rsidRDefault="006E4B57">
      <w:pPr>
        <w:pStyle w:val="Notedebasdepage"/>
      </w:pPr>
      <w:r>
        <w:rPr>
          <w:rStyle w:val="Appelnotedebasdep"/>
        </w:rPr>
        <w:footnoteRef/>
      </w:r>
      <w:r>
        <w:t xml:space="preserve"> </w:t>
      </w:r>
      <w:r w:rsidRPr="006E4B57">
        <w:t xml:space="preserve">Didier </w:t>
      </w:r>
      <w:proofErr w:type="spellStart"/>
      <w:r w:rsidRPr="006E4B57">
        <w:t>Fassin</w:t>
      </w:r>
      <w:proofErr w:type="spellEnd"/>
      <w:r w:rsidRPr="006E4B57">
        <w:t>, Une étrange défaite, Sur le consentement à l’écrasement de Gaza, pages 46 à 49.</w:t>
      </w:r>
    </w:p>
  </w:footnote>
  <w:footnote w:id="6">
    <w:p w14:paraId="777851F5" w14:textId="547BB5C4" w:rsidR="00374934" w:rsidRPr="00374934" w:rsidRDefault="00374934">
      <w:pPr>
        <w:pStyle w:val="Notedebasdepage"/>
        <w:rPr>
          <w:lang w:val="fr-CA"/>
        </w:rPr>
      </w:pPr>
      <w:r>
        <w:rPr>
          <w:rStyle w:val="Appelnotedebasdep"/>
        </w:rPr>
        <w:footnoteRef/>
      </w:r>
      <w:r>
        <w:t xml:space="preserve"> </w:t>
      </w:r>
      <w:r w:rsidRPr="00374934">
        <w:t xml:space="preserve">Didier </w:t>
      </w:r>
      <w:proofErr w:type="spellStart"/>
      <w:r w:rsidRPr="00374934">
        <w:t>Fassin</w:t>
      </w:r>
      <w:proofErr w:type="spellEnd"/>
      <w:r w:rsidRPr="00374934">
        <w:t>, Une étrange défaite, Sur le consentement à l’écrasement de Gaza, pages 59 et 60.</w:t>
      </w:r>
    </w:p>
  </w:footnote>
  <w:footnote w:id="7">
    <w:p w14:paraId="5EF8473D" w14:textId="5DB6E782" w:rsidR="00220860" w:rsidRPr="00220860" w:rsidRDefault="00220860">
      <w:pPr>
        <w:pStyle w:val="Notedebasdepage"/>
        <w:rPr>
          <w:lang w:val="fr-CA"/>
        </w:rPr>
      </w:pPr>
      <w:r>
        <w:rPr>
          <w:rStyle w:val="Appelnotedebasdep"/>
        </w:rPr>
        <w:footnoteRef/>
      </w:r>
      <w:r>
        <w:t xml:space="preserve"> </w:t>
      </w:r>
      <w:r w:rsidRPr="00220860">
        <w:t xml:space="preserve">Didier </w:t>
      </w:r>
      <w:proofErr w:type="spellStart"/>
      <w:r w:rsidRPr="00220860">
        <w:t>Fassin</w:t>
      </w:r>
      <w:proofErr w:type="spellEnd"/>
      <w:r w:rsidRPr="00220860">
        <w:t>, Une étrange défaite, Sur le consentement à l’écrasement de Gaza, pages 62 à 64.</w:t>
      </w:r>
    </w:p>
  </w:footnote>
  <w:footnote w:id="8">
    <w:p w14:paraId="54DDA2EB" w14:textId="62B5346D" w:rsidR="008B3101" w:rsidRPr="008B3101" w:rsidRDefault="008B3101">
      <w:pPr>
        <w:pStyle w:val="Notedebasdepage"/>
        <w:rPr>
          <w:lang w:val="fr-CA"/>
        </w:rPr>
      </w:pPr>
      <w:r>
        <w:rPr>
          <w:rStyle w:val="Appelnotedebasdep"/>
        </w:rPr>
        <w:footnoteRef/>
      </w:r>
      <w:r>
        <w:t xml:space="preserve"> </w:t>
      </w:r>
      <w:r w:rsidRPr="008B3101">
        <w:t xml:space="preserve">Didier </w:t>
      </w:r>
      <w:proofErr w:type="spellStart"/>
      <w:r w:rsidRPr="008B3101">
        <w:t>Fassin</w:t>
      </w:r>
      <w:proofErr w:type="spellEnd"/>
      <w:r w:rsidRPr="008B3101">
        <w:t>, Une étrange défaite, Sur le consentement à l’écrasement de Gaza, pages 64 à 66.</w:t>
      </w:r>
    </w:p>
  </w:footnote>
  <w:footnote w:id="9">
    <w:p w14:paraId="1B515742" w14:textId="0C2364E2" w:rsidR="002423FF" w:rsidRPr="002423FF" w:rsidRDefault="002423FF">
      <w:pPr>
        <w:pStyle w:val="Notedebasdepage"/>
        <w:rPr>
          <w:lang w:val="fr-CA"/>
        </w:rPr>
      </w:pPr>
      <w:r>
        <w:rPr>
          <w:rStyle w:val="Appelnotedebasdep"/>
        </w:rPr>
        <w:footnoteRef/>
      </w:r>
      <w:r>
        <w:t xml:space="preserve"> </w:t>
      </w:r>
      <w:r w:rsidRPr="002423FF">
        <w:t xml:space="preserve">Didier </w:t>
      </w:r>
      <w:proofErr w:type="spellStart"/>
      <w:r w:rsidRPr="002423FF">
        <w:t>Fassin</w:t>
      </w:r>
      <w:proofErr w:type="spellEnd"/>
      <w:r w:rsidRPr="002423FF">
        <w:t>, Une étrange défaite, Sur le consentement à l’écrasement de Gaza, pages 75 et 76.</w:t>
      </w:r>
    </w:p>
  </w:footnote>
  <w:footnote w:id="10">
    <w:p w14:paraId="15CB6DEE" w14:textId="38460715" w:rsidR="00175992" w:rsidRPr="00175992" w:rsidRDefault="00175992">
      <w:pPr>
        <w:pStyle w:val="Notedebasdepage"/>
        <w:rPr>
          <w:lang w:val="fr-CA"/>
        </w:rPr>
      </w:pPr>
      <w:r>
        <w:rPr>
          <w:rStyle w:val="Appelnotedebasdep"/>
        </w:rPr>
        <w:footnoteRef/>
      </w:r>
      <w:r>
        <w:t xml:space="preserve"> </w:t>
      </w:r>
      <w:r w:rsidRPr="00175992">
        <w:t xml:space="preserve">Didier </w:t>
      </w:r>
      <w:proofErr w:type="spellStart"/>
      <w:r w:rsidRPr="00175992">
        <w:t>Fassin</w:t>
      </w:r>
      <w:proofErr w:type="spellEnd"/>
      <w:r w:rsidRPr="00175992">
        <w:t>, Une étrange défaite, Sur le consentement à l’écrasement de Gaza, page 90.</w:t>
      </w:r>
    </w:p>
  </w:footnote>
  <w:footnote w:id="11">
    <w:p w14:paraId="49FB7D21" w14:textId="40A77996" w:rsidR="00D51B2C" w:rsidRPr="00D51B2C" w:rsidRDefault="00D51B2C">
      <w:pPr>
        <w:pStyle w:val="Notedebasdepage"/>
        <w:rPr>
          <w:lang w:val="fr-CA"/>
        </w:rPr>
      </w:pPr>
      <w:r>
        <w:rPr>
          <w:rStyle w:val="Appelnotedebasdep"/>
        </w:rPr>
        <w:footnoteRef/>
      </w:r>
      <w:r>
        <w:t xml:space="preserve"> </w:t>
      </w:r>
      <w:r w:rsidRPr="001D50D4">
        <w:rPr>
          <w:rFonts w:cs="Calibri"/>
          <w:w w:val="90"/>
        </w:rPr>
        <w:t>Didier</w:t>
      </w:r>
      <w:r w:rsidRPr="001D50D4">
        <w:rPr>
          <w:rFonts w:cs="Calibri"/>
          <w:spacing w:val="-7"/>
          <w:w w:val="90"/>
        </w:rPr>
        <w:t xml:space="preserve"> </w:t>
      </w:r>
      <w:proofErr w:type="spellStart"/>
      <w:r w:rsidRPr="001D50D4">
        <w:rPr>
          <w:rFonts w:cs="Calibri"/>
          <w:w w:val="90"/>
        </w:rPr>
        <w:t>Fassin</w:t>
      </w:r>
      <w:proofErr w:type="spellEnd"/>
      <w:r w:rsidRPr="001D50D4">
        <w:rPr>
          <w:rFonts w:cs="Calibri"/>
          <w:w w:val="90"/>
        </w:rPr>
        <w:t>,</w:t>
      </w:r>
      <w:r w:rsidRPr="001D50D4">
        <w:rPr>
          <w:rFonts w:cs="Calibri"/>
          <w:spacing w:val="-5"/>
          <w:w w:val="90"/>
        </w:rPr>
        <w:t xml:space="preserve"> </w:t>
      </w:r>
      <w:r w:rsidRPr="001D50D4">
        <w:rPr>
          <w:rFonts w:cs="Calibri"/>
          <w:i/>
          <w:w w:val="90"/>
        </w:rPr>
        <w:t>Une</w:t>
      </w:r>
      <w:r w:rsidRPr="001D50D4">
        <w:rPr>
          <w:rFonts w:cs="Calibri"/>
          <w:i/>
          <w:spacing w:val="-6"/>
          <w:w w:val="90"/>
        </w:rPr>
        <w:t xml:space="preserve"> </w:t>
      </w:r>
      <w:r w:rsidRPr="001D50D4">
        <w:rPr>
          <w:rFonts w:cs="Calibri"/>
          <w:i/>
          <w:w w:val="90"/>
        </w:rPr>
        <w:t>étrange</w:t>
      </w:r>
      <w:r w:rsidRPr="001D50D4">
        <w:rPr>
          <w:rFonts w:cs="Calibri"/>
          <w:i/>
          <w:spacing w:val="-7"/>
          <w:w w:val="90"/>
        </w:rPr>
        <w:t xml:space="preserve"> </w:t>
      </w:r>
      <w:r w:rsidRPr="001D50D4">
        <w:rPr>
          <w:rFonts w:cs="Calibri"/>
          <w:i/>
          <w:w w:val="90"/>
        </w:rPr>
        <w:t>défaite,</w:t>
      </w:r>
      <w:r w:rsidRPr="001D50D4">
        <w:rPr>
          <w:rFonts w:cs="Calibri"/>
          <w:i/>
          <w:spacing w:val="-6"/>
          <w:w w:val="90"/>
        </w:rPr>
        <w:t xml:space="preserve"> </w:t>
      </w:r>
      <w:r w:rsidRPr="001D50D4">
        <w:rPr>
          <w:rFonts w:cs="Calibri"/>
          <w:i/>
          <w:w w:val="90"/>
        </w:rPr>
        <w:t>Sur</w:t>
      </w:r>
      <w:r w:rsidRPr="001D50D4">
        <w:rPr>
          <w:rFonts w:cs="Calibri"/>
          <w:i/>
          <w:spacing w:val="-4"/>
          <w:w w:val="90"/>
        </w:rPr>
        <w:t xml:space="preserve"> </w:t>
      </w:r>
      <w:r w:rsidRPr="001D50D4">
        <w:rPr>
          <w:rFonts w:cs="Calibri"/>
          <w:i/>
          <w:w w:val="90"/>
        </w:rPr>
        <w:t>le</w:t>
      </w:r>
      <w:r w:rsidRPr="001D50D4">
        <w:rPr>
          <w:rFonts w:cs="Calibri"/>
          <w:i/>
          <w:spacing w:val="-7"/>
          <w:w w:val="90"/>
        </w:rPr>
        <w:t xml:space="preserve"> </w:t>
      </w:r>
      <w:r w:rsidRPr="001D50D4">
        <w:rPr>
          <w:rFonts w:cs="Calibri"/>
          <w:i/>
          <w:w w:val="90"/>
        </w:rPr>
        <w:t>consentement</w:t>
      </w:r>
      <w:r w:rsidRPr="001D50D4">
        <w:rPr>
          <w:rFonts w:cs="Calibri"/>
          <w:i/>
          <w:spacing w:val="-6"/>
          <w:w w:val="90"/>
        </w:rPr>
        <w:t xml:space="preserve"> </w:t>
      </w:r>
      <w:r w:rsidRPr="001D50D4">
        <w:rPr>
          <w:rFonts w:cs="Calibri"/>
          <w:i/>
          <w:w w:val="90"/>
        </w:rPr>
        <w:t>à</w:t>
      </w:r>
      <w:r w:rsidRPr="001D50D4">
        <w:rPr>
          <w:rFonts w:cs="Calibri"/>
          <w:i/>
          <w:spacing w:val="-6"/>
          <w:w w:val="90"/>
        </w:rPr>
        <w:t xml:space="preserve"> </w:t>
      </w:r>
      <w:r w:rsidRPr="001D50D4">
        <w:rPr>
          <w:rFonts w:cs="Calibri"/>
          <w:i/>
          <w:w w:val="90"/>
        </w:rPr>
        <w:t>l’écrasement</w:t>
      </w:r>
      <w:r w:rsidRPr="001D50D4">
        <w:rPr>
          <w:rFonts w:cs="Calibri"/>
          <w:i/>
          <w:spacing w:val="-6"/>
          <w:w w:val="90"/>
        </w:rPr>
        <w:t xml:space="preserve"> </w:t>
      </w:r>
      <w:r w:rsidRPr="001D50D4">
        <w:rPr>
          <w:rFonts w:cs="Calibri"/>
          <w:i/>
          <w:w w:val="90"/>
        </w:rPr>
        <w:t>de</w:t>
      </w:r>
      <w:r w:rsidRPr="001D50D4">
        <w:rPr>
          <w:rFonts w:cs="Calibri"/>
          <w:i/>
          <w:spacing w:val="-7"/>
          <w:w w:val="90"/>
        </w:rPr>
        <w:t xml:space="preserve"> </w:t>
      </w:r>
      <w:r w:rsidRPr="001D50D4">
        <w:rPr>
          <w:rFonts w:cs="Calibri"/>
          <w:i/>
          <w:w w:val="90"/>
        </w:rPr>
        <w:t>Gaza</w:t>
      </w:r>
      <w:r w:rsidRPr="001D50D4">
        <w:rPr>
          <w:rFonts w:cs="Calibri"/>
          <w:w w:val="90"/>
        </w:rPr>
        <w:t>,</w:t>
      </w:r>
      <w:r w:rsidRPr="001D50D4">
        <w:rPr>
          <w:rFonts w:cs="Calibri"/>
          <w:spacing w:val="-7"/>
          <w:w w:val="90"/>
        </w:rPr>
        <w:t xml:space="preserve"> </w:t>
      </w:r>
      <w:r w:rsidRPr="001D50D4">
        <w:rPr>
          <w:rFonts w:cs="Calibri"/>
          <w:w w:val="90"/>
        </w:rPr>
        <w:t>page</w:t>
      </w:r>
      <w:r w:rsidRPr="001D50D4">
        <w:rPr>
          <w:rFonts w:cs="Calibri"/>
          <w:spacing w:val="-6"/>
          <w:w w:val="90"/>
        </w:rPr>
        <w:t xml:space="preserve"> </w:t>
      </w:r>
      <w:r w:rsidRPr="001D50D4">
        <w:rPr>
          <w:rFonts w:cs="Calibri"/>
          <w:spacing w:val="-5"/>
          <w:w w:val="90"/>
        </w:rPr>
        <w:t>91</w:t>
      </w:r>
      <w:r>
        <w:rPr>
          <w:rFonts w:cs="Calibri"/>
          <w:spacing w:val="-5"/>
          <w:w w:val="90"/>
        </w:rPr>
        <w:t>.</w:t>
      </w:r>
    </w:p>
  </w:footnote>
  <w:footnote w:id="12">
    <w:p w14:paraId="75B5DE56" w14:textId="6127D310" w:rsidR="0092390B" w:rsidRPr="0092390B" w:rsidRDefault="0092390B">
      <w:pPr>
        <w:pStyle w:val="Notedebasdepage"/>
        <w:rPr>
          <w:lang w:val="fr-CA"/>
        </w:rPr>
      </w:pPr>
      <w:r>
        <w:rPr>
          <w:rStyle w:val="Appelnotedebasdep"/>
        </w:rPr>
        <w:footnoteRef/>
      </w:r>
      <w:r>
        <w:t xml:space="preserve"> </w:t>
      </w:r>
      <w:r w:rsidRPr="001D50D4">
        <w:rPr>
          <w:rFonts w:cs="Calibri"/>
          <w:w w:val="90"/>
        </w:rPr>
        <w:t>Didier</w:t>
      </w:r>
      <w:r w:rsidRPr="001D50D4">
        <w:rPr>
          <w:rFonts w:cs="Calibri"/>
          <w:spacing w:val="-8"/>
          <w:w w:val="90"/>
        </w:rPr>
        <w:t xml:space="preserve"> </w:t>
      </w:r>
      <w:proofErr w:type="spellStart"/>
      <w:r w:rsidRPr="001D50D4">
        <w:rPr>
          <w:rFonts w:cs="Calibri"/>
          <w:w w:val="90"/>
        </w:rPr>
        <w:t>Fassin</w:t>
      </w:r>
      <w:proofErr w:type="spellEnd"/>
      <w:r w:rsidRPr="001D50D4">
        <w:rPr>
          <w:rFonts w:cs="Calibri"/>
          <w:w w:val="90"/>
        </w:rPr>
        <w:t>,</w:t>
      </w:r>
      <w:r w:rsidRPr="001D50D4">
        <w:rPr>
          <w:rFonts w:cs="Calibri"/>
          <w:spacing w:val="-6"/>
          <w:w w:val="90"/>
        </w:rPr>
        <w:t xml:space="preserve"> </w:t>
      </w:r>
      <w:r w:rsidRPr="001D50D4">
        <w:rPr>
          <w:rFonts w:cs="Calibri"/>
          <w:i/>
          <w:w w:val="90"/>
        </w:rPr>
        <w:t>Une</w:t>
      </w:r>
      <w:r w:rsidRPr="001D50D4">
        <w:rPr>
          <w:rFonts w:cs="Calibri"/>
          <w:i/>
          <w:spacing w:val="-7"/>
          <w:w w:val="90"/>
        </w:rPr>
        <w:t xml:space="preserve"> </w:t>
      </w:r>
      <w:r w:rsidRPr="001D50D4">
        <w:rPr>
          <w:rFonts w:cs="Calibri"/>
          <w:i/>
          <w:w w:val="90"/>
        </w:rPr>
        <w:t>étrange</w:t>
      </w:r>
      <w:r w:rsidRPr="001D50D4">
        <w:rPr>
          <w:rFonts w:cs="Calibri"/>
          <w:i/>
          <w:spacing w:val="-8"/>
          <w:w w:val="90"/>
        </w:rPr>
        <w:t xml:space="preserve"> </w:t>
      </w:r>
      <w:r w:rsidRPr="001D50D4">
        <w:rPr>
          <w:rFonts w:cs="Calibri"/>
          <w:i/>
          <w:w w:val="90"/>
        </w:rPr>
        <w:t>défaite,</w:t>
      </w:r>
      <w:r w:rsidRPr="001D50D4">
        <w:rPr>
          <w:rFonts w:cs="Calibri"/>
          <w:i/>
          <w:spacing w:val="-7"/>
          <w:w w:val="90"/>
        </w:rPr>
        <w:t xml:space="preserve"> </w:t>
      </w:r>
      <w:r w:rsidRPr="001D50D4">
        <w:rPr>
          <w:rFonts w:cs="Calibri"/>
          <w:i/>
          <w:w w:val="90"/>
        </w:rPr>
        <w:t>Sur</w:t>
      </w:r>
      <w:r w:rsidRPr="001D50D4">
        <w:rPr>
          <w:rFonts w:cs="Calibri"/>
          <w:i/>
          <w:spacing w:val="-6"/>
          <w:w w:val="90"/>
        </w:rPr>
        <w:t xml:space="preserve"> </w:t>
      </w:r>
      <w:r w:rsidRPr="001D50D4">
        <w:rPr>
          <w:rFonts w:cs="Calibri"/>
          <w:i/>
          <w:w w:val="90"/>
        </w:rPr>
        <w:t>le</w:t>
      </w:r>
      <w:r w:rsidRPr="001D50D4">
        <w:rPr>
          <w:rFonts w:cs="Calibri"/>
          <w:i/>
          <w:spacing w:val="-8"/>
          <w:w w:val="90"/>
        </w:rPr>
        <w:t xml:space="preserve"> </w:t>
      </w:r>
      <w:r w:rsidRPr="001D50D4">
        <w:rPr>
          <w:rFonts w:cs="Calibri"/>
          <w:i/>
          <w:w w:val="90"/>
        </w:rPr>
        <w:t>consentement</w:t>
      </w:r>
      <w:r w:rsidRPr="001D50D4">
        <w:rPr>
          <w:rFonts w:cs="Calibri"/>
          <w:i/>
          <w:spacing w:val="-7"/>
          <w:w w:val="90"/>
        </w:rPr>
        <w:t xml:space="preserve"> </w:t>
      </w:r>
      <w:r w:rsidRPr="001D50D4">
        <w:rPr>
          <w:rFonts w:cs="Calibri"/>
          <w:i/>
          <w:w w:val="90"/>
        </w:rPr>
        <w:t>à</w:t>
      </w:r>
      <w:r w:rsidRPr="001D50D4">
        <w:rPr>
          <w:rFonts w:cs="Calibri"/>
          <w:i/>
          <w:spacing w:val="-7"/>
          <w:w w:val="90"/>
        </w:rPr>
        <w:t xml:space="preserve"> </w:t>
      </w:r>
      <w:r w:rsidRPr="001D50D4">
        <w:rPr>
          <w:rFonts w:cs="Calibri"/>
          <w:i/>
          <w:w w:val="90"/>
        </w:rPr>
        <w:t>l’écrasement</w:t>
      </w:r>
      <w:r w:rsidRPr="001D50D4">
        <w:rPr>
          <w:rFonts w:cs="Calibri"/>
          <w:i/>
          <w:spacing w:val="-7"/>
          <w:w w:val="90"/>
        </w:rPr>
        <w:t xml:space="preserve"> </w:t>
      </w:r>
      <w:r w:rsidRPr="001D50D4">
        <w:rPr>
          <w:rFonts w:cs="Calibri"/>
          <w:i/>
          <w:w w:val="90"/>
        </w:rPr>
        <w:t>de</w:t>
      </w:r>
      <w:r w:rsidRPr="001D50D4">
        <w:rPr>
          <w:rFonts w:cs="Calibri"/>
          <w:i/>
          <w:spacing w:val="-7"/>
          <w:w w:val="90"/>
        </w:rPr>
        <w:t xml:space="preserve"> </w:t>
      </w:r>
      <w:r w:rsidRPr="001D50D4">
        <w:rPr>
          <w:rFonts w:cs="Calibri"/>
          <w:i/>
          <w:w w:val="90"/>
        </w:rPr>
        <w:t>Gaza</w:t>
      </w:r>
      <w:r w:rsidRPr="001D50D4">
        <w:rPr>
          <w:rFonts w:cs="Calibri"/>
          <w:w w:val="90"/>
        </w:rPr>
        <w:t>,</w:t>
      </w:r>
      <w:r w:rsidRPr="001D50D4">
        <w:rPr>
          <w:rFonts w:cs="Calibri"/>
          <w:spacing w:val="-8"/>
          <w:w w:val="90"/>
        </w:rPr>
        <w:t xml:space="preserve"> </w:t>
      </w:r>
      <w:r w:rsidRPr="001D50D4">
        <w:rPr>
          <w:rFonts w:cs="Calibri"/>
          <w:w w:val="90"/>
        </w:rPr>
        <w:t>pages</w:t>
      </w:r>
      <w:r w:rsidRPr="001D50D4">
        <w:rPr>
          <w:rFonts w:cs="Calibri"/>
          <w:spacing w:val="-8"/>
          <w:w w:val="90"/>
        </w:rPr>
        <w:t xml:space="preserve"> </w:t>
      </w:r>
      <w:r w:rsidRPr="001D50D4">
        <w:rPr>
          <w:rFonts w:cs="Calibri"/>
          <w:w w:val="90"/>
        </w:rPr>
        <w:t>120</w:t>
      </w:r>
      <w:r w:rsidRPr="001D50D4">
        <w:rPr>
          <w:rFonts w:cs="Calibri"/>
          <w:spacing w:val="-5"/>
          <w:w w:val="90"/>
        </w:rPr>
        <w:t xml:space="preserve"> </w:t>
      </w:r>
      <w:r w:rsidRPr="001D50D4">
        <w:rPr>
          <w:rFonts w:cs="Calibri"/>
          <w:w w:val="90"/>
        </w:rPr>
        <w:t>à</w:t>
      </w:r>
      <w:r w:rsidRPr="001D50D4">
        <w:rPr>
          <w:rFonts w:cs="Calibri"/>
          <w:spacing w:val="-8"/>
          <w:w w:val="90"/>
        </w:rPr>
        <w:t xml:space="preserve"> </w:t>
      </w:r>
      <w:r w:rsidRPr="001D50D4">
        <w:rPr>
          <w:rFonts w:cs="Calibri"/>
          <w:spacing w:val="-5"/>
          <w:w w:val="90"/>
        </w:rPr>
        <w:t>122</w:t>
      </w:r>
      <w:r>
        <w:rPr>
          <w:rFonts w:cs="Calibri"/>
          <w:spacing w:val="-5"/>
          <w:w w:val="90"/>
        </w:rPr>
        <w:t>.</w:t>
      </w:r>
    </w:p>
  </w:footnote>
  <w:footnote w:id="13">
    <w:p w14:paraId="2F428DDF" w14:textId="154BD2B0" w:rsidR="0057371C" w:rsidRPr="0057371C" w:rsidRDefault="0057371C">
      <w:pPr>
        <w:pStyle w:val="Notedebasdepage"/>
        <w:rPr>
          <w:lang w:val="fr-CA"/>
        </w:rPr>
      </w:pPr>
      <w:r>
        <w:rPr>
          <w:rStyle w:val="Appelnotedebasdep"/>
        </w:rPr>
        <w:footnoteRef/>
      </w:r>
      <w:r>
        <w:t xml:space="preserve"> </w:t>
      </w:r>
      <w:r w:rsidRPr="001D50D4">
        <w:rPr>
          <w:rFonts w:cs="Calibri"/>
          <w:w w:val="90"/>
        </w:rPr>
        <w:t>Didier</w:t>
      </w:r>
      <w:r w:rsidRPr="001D50D4">
        <w:rPr>
          <w:rFonts w:cs="Calibri"/>
          <w:spacing w:val="-8"/>
          <w:w w:val="90"/>
        </w:rPr>
        <w:t xml:space="preserve"> </w:t>
      </w:r>
      <w:proofErr w:type="spellStart"/>
      <w:r w:rsidRPr="001D50D4">
        <w:rPr>
          <w:rFonts w:cs="Calibri"/>
          <w:w w:val="90"/>
        </w:rPr>
        <w:t>Fassin</w:t>
      </w:r>
      <w:proofErr w:type="spellEnd"/>
      <w:r w:rsidRPr="001D50D4">
        <w:rPr>
          <w:rFonts w:cs="Calibri"/>
          <w:w w:val="90"/>
        </w:rPr>
        <w:t>,</w:t>
      </w:r>
      <w:r w:rsidRPr="001D50D4">
        <w:rPr>
          <w:rFonts w:cs="Calibri"/>
          <w:spacing w:val="-6"/>
          <w:w w:val="90"/>
        </w:rPr>
        <w:t xml:space="preserve"> </w:t>
      </w:r>
      <w:r w:rsidRPr="001D50D4">
        <w:rPr>
          <w:rFonts w:cs="Calibri"/>
          <w:i/>
          <w:w w:val="90"/>
        </w:rPr>
        <w:t>Une</w:t>
      </w:r>
      <w:r w:rsidRPr="001D50D4">
        <w:rPr>
          <w:rFonts w:cs="Calibri"/>
          <w:i/>
          <w:spacing w:val="-7"/>
          <w:w w:val="90"/>
        </w:rPr>
        <w:t xml:space="preserve"> </w:t>
      </w:r>
      <w:r w:rsidRPr="001D50D4">
        <w:rPr>
          <w:rFonts w:cs="Calibri"/>
          <w:i/>
          <w:w w:val="90"/>
        </w:rPr>
        <w:t>étrange</w:t>
      </w:r>
      <w:r w:rsidRPr="001D50D4">
        <w:rPr>
          <w:rFonts w:cs="Calibri"/>
          <w:i/>
          <w:spacing w:val="-8"/>
          <w:w w:val="90"/>
        </w:rPr>
        <w:t xml:space="preserve"> </w:t>
      </w:r>
      <w:r w:rsidRPr="001D50D4">
        <w:rPr>
          <w:rFonts w:cs="Calibri"/>
          <w:i/>
          <w:w w:val="90"/>
        </w:rPr>
        <w:t>défaite,</w:t>
      </w:r>
      <w:r w:rsidRPr="001D50D4">
        <w:rPr>
          <w:rFonts w:cs="Calibri"/>
          <w:i/>
          <w:spacing w:val="-7"/>
          <w:w w:val="90"/>
        </w:rPr>
        <w:t xml:space="preserve"> </w:t>
      </w:r>
      <w:r w:rsidRPr="001D50D4">
        <w:rPr>
          <w:rFonts w:cs="Calibri"/>
          <w:i/>
          <w:w w:val="90"/>
        </w:rPr>
        <w:t>Sur</w:t>
      </w:r>
      <w:r w:rsidRPr="001D50D4">
        <w:rPr>
          <w:rFonts w:cs="Calibri"/>
          <w:i/>
          <w:spacing w:val="-6"/>
          <w:w w:val="90"/>
        </w:rPr>
        <w:t xml:space="preserve"> </w:t>
      </w:r>
      <w:r w:rsidRPr="001D50D4">
        <w:rPr>
          <w:rFonts w:cs="Calibri"/>
          <w:i/>
          <w:w w:val="90"/>
        </w:rPr>
        <w:t>le</w:t>
      </w:r>
      <w:r w:rsidRPr="001D50D4">
        <w:rPr>
          <w:rFonts w:cs="Calibri"/>
          <w:i/>
          <w:spacing w:val="-8"/>
          <w:w w:val="90"/>
        </w:rPr>
        <w:t xml:space="preserve"> </w:t>
      </w:r>
      <w:r w:rsidRPr="001D50D4">
        <w:rPr>
          <w:rFonts w:cs="Calibri"/>
          <w:i/>
          <w:w w:val="90"/>
        </w:rPr>
        <w:t>consentement</w:t>
      </w:r>
      <w:r w:rsidRPr="001D50D4">
        <w:rPr>
          <w:rFonts w:cs="Calibri"/>
          <w:i/>
          <w:spacing w:val="-7"/>
          <w:w w:val="90"/>
        </w:rPr>
        <w:t xml:space="preserve"> </w:t>
      </w:r>
      <w:r w:rsidRPr="001D50D4">
        <w:rPr>
          <w:rFonts w:cs="Calibri"/>
          <w:i/>
          <w:w w:val="90"/>
        </w:rPr>
        <w:t>à</w:t>
      </w:r>
      <w:r w:rsidRPr="001D50D4">
        <w:rPr>
          <w:rFonts w:cs="Calibri"/>
          <w:i/>
          <w:spacing w:val="-7"/>
          <w:w w:val="90"/>
        </w:rPr>
        <w:t xml:space="preserve"> </w:t>
      </w:r>
      <w:r w:rsidRPr="001D50D4">
        <w:rPr>
          <w:rFonts w:cs="Calibri"/>
          <w:i/>
          <w:w w:val="90"/>
        </w:rPr>
        <w:t>l’écrasement</w:t>
      </w:r>
      <w:r w:rsidRPr="001D50D4">
        <w:rPr>
          <w:rFonts w:cs="Calibri"/>
          <w:i/>
          <w:spacing w:val="-7"/>
          <w:w w:val="90"/>
        </w:rPr>
        <w:t xml:space="preserve"> </w:t>
      </w:r>
      <w:r w:rsidRPr="001D50D4">
        <w:rPr>
          <w:rFonts w:cs="Calibri"/>
          <w:i/>
          <w:w w:val="90"/>
        </w:rPr>
        <w:t>de</w:t>
      </w:r>
      <w:r w:rsidRPr="001D50D4">
        <w:rPr>
          <w:rFonts w:cs="Calibri"/>
          <w:i/>
          <w:spacing w:val="-7"/>
          <w:w w:val="90"/>
        </w:rPr>
        <w:t xml:space="preserve"> </w:t>
      </w:r>
      <w:r w:rsidRPr="001D50D4">
        <w:rPr>
          <w:rFonts w:cs="Calibri"/>
          <w:i/>
          <w:w w:val="90"/>
        </w:rPr>
        <w:t>Gaza</w:t>
      </w:r>
      <w:r w:rsidRPr="001D50D4">
        <w:rPr>
          <w:rFonts w:cs="Calibri"/>
          <w:w w:val="90"/>
        </w:rPr>
        <w:t>,</w:t>
      </w:r>
      <w:r w:rsidRPr="001D50D4">
        <w:rPr>
          <w:rFonts w:cs="Calibri"/>
          <w:spacing w:val="-8"/>
          <w:w w:val="90"/>
        </w:rPr>
        <w:t xml:space="preserve"> </w:t>
      </w:r>
      <w:r w:rsidRPr="001D50D4">
        <w:rPr>
          <w:rFonts w:cs="Calibri"/>
          <w:w w:val="90"/>
        </w:rPr>
        <w:t>pages</w:t>
      </w:r>
      <w:r w:rsidRPr="001D50D4">
        <w:rPr>
          <w:rFonts w:cs="Calibri"/>
          <w:spacing w:val="-8"/>
          <w:w w:val="90"/>
        </w:rPr>
        <w:t xml:space="preserve"> </w:t>
      </w:r>
      <w:r w:rsidRPr="001D50D4">
        <w:rPr>
          <w:rFonts w:cs="Calibri"/>
          <w:w w:val="90"/>
        </w:rPr>
        <w:t>124</w:t>
      </w:r>
      <w:r w:rsidRPr="001D50D4">
        <w:rPr>
          <w:rFonts w:cs="Calibri"/>
          <w:spacing w:val="-5"/>
          <w:w w:val="90"/>
        </w:rPr>
        <w:t xml:space="preserve"> </w:t>
      </w:r>
      <w:r w:rsidRPr="001D50D4">
        <w:rPr>
          <w:rFonts w:cs="Calibri"/>
          <w:w w:val="90"/>
        </w:rPr>
        <w:t>à</w:t>
      </w:r>
      <w:r w:rsidRPr="001D50D4">
        <w:rPr>
          <w:rFonts w:cs="Calibri"/>
          <w:spacing w:val="-8"/>
          <w:w w:val="90"/>
        </w:rPr>
        <w:t xml:space="preserve"> </w:t>
      </w:r>
      <w:r w:rsidRPr="001D50D4">
        <w:rPr>
          <w:rFonts w:cs="Calibri"/>
          <w:spacing w:val="-5"/>
          <w:w w:val="90"/>
        </w:rPr>
        <w:t>126</w:t>
      </w:r>
      <w:r>
        <w:rPr>
          <w:rFonts w:cs="Calibri"/>
          <w:spacing w:val="-5"/>
          <w:w w:val="90"/>
        </w:rPr>
        <w:t>.</w:t>
      </w:r>
    </w:p>
  </w:footnote>
  <w:footnote w:id="14">
    <w:p w14:paraId="71C7A430" w14:textId="205F4A71" w:rsidR="0024677A" w:rsidRPr="0024677A" w:rsidRDefault="0024677A">
      <w:pPr>
        <w:pStyle w:val="Notedebasdepage"/>
        <w:rPr>
          <w:lang w:val="fr-CA"/>
        </w:rPr>
      </w:pPr>
      <w:r>
        <w:rPr>
          <w:rStyle w:val="Appelnotedebasdep"/>
        </w:rPr>
        <w:footnoteRef/>
      </w:r>
      <w:r>
        <w:t xml:space="preserve"> </w:t>
      </w:r>
      <w:r w:rsidRPr="001D50D4">
        <w:rPr>
          <w:rFonts w:cs="Calibri"/>
          <w:w w:val="90"/>
        </w:rPr>
        <w:t>Didier</w:t>
      </w:r>
      <w:r w:rsidRPr="001D50D4">
        <w:rPr>
          <w:rFonts w:cs="Calibri"/>
          <w:spacing w:val="-8"/>
          <w:w w:val="90"/>
        </w:rPr>
        <w:t xml:space="preserve"> </w:t>
      </w:r>
      <w:proofErr w:type="spellStart"/>
      <w:r w:rsidRPr="001D50D4">
        <w:rPr>
          <w:rFonts w:cs="Calibri"/>
          <w:w w:val="90"/>
        </w:rPr>
        <w:t>Fassin</w:t>
      </w:r>
      <w:proofErr w:type="spellEnd"/>
      <w:r w:rsidRPr="001D50D4">
        <w:rPr>
          <w:rFonts w:cs="Calibri"/>
          <w:w w:val="90"/>
        </w:rPr>
        <w:t>,</w:t>
      </w:r>
      <w:r w:rsidRPr="001D50D4">
        <w:rPr>
          <w:rFonts w:cs="Calibri"/>
          <w:spacing w:val="-6"/>
          <w:w w:val="90"/>
        </w:rPr>
        <w:t xml:space="preserve"> </w:t>
      </w:r>
      <w:r w:rsidRPr="001D50D4">
        <w:rPr>
          <w:rFonts w:cs="Calibri"/>
          <w:i/>
          <w:w w:val="90"/>
        </w:rPr>
        <w:t>Une</w:t>
      </w:r>
      <w:r w:rsidRPr="001D50D4">
        <w:rPr>
          <w:rFonts w:cs="Calibri"/>
          <w:i/>
          <w:spacing w:val="-7"/>
          <w:w w:val="90"/>
        </w:rPr>
        <w:t xml:space="preserve"> </w:t>
      </w:r>
      <w:r w:rsidRPr="001D50D4">
        <w:rPr>
          <w:rFonts w:cs="Calibri"/>
          <w:i/>
          <w:w w:val="90"/>
        </w:rPr>
        <w:t>étrange</w:t>
      </w:r>
      <w:r w:rsidRPr="001D50D4">
        <w:rPr>
          <w:rFonts w:cs="Calibri"/>
          <w:i/>
          <w:spacing w:val="-8"/>
          <w:w w:val="90"/>
        </w:rPr>
        <w:t xml:space="preserve"> </w:t>
      </w:r>
      <w:r w:rsidRPr="001D50D4">
        <w:rPr>
          <w:rFonts w:cs="Calibri"/>
          <w:i/>
          <w:w w:val="90"/>
        </w:rPr>
        <w:t>défaite,</w:t>
      </w:r>
      <w:r w:rsidRPr="001D50D4">
        <w:rPr>
          <w:rFonts w:cs="Calibri"/>
          <w:i/>
          <w:spacing w:val="-7"/>
          <w:w w:val="90"/>
        </w:rPr>
        <w:t xml:space="preserve"> </w:t>
      </w:r>
      <w:r w:rsidRPr="001D50D4">
        <w:rPr>
          <w:rFonts w:cs="Calibri"/>
          <w:i/>
          <w:w w:val="90"/>
        </w:rPr>
        <w:t>Sur</w:t>
      </w:r>
      <w:r w:rsidRPr="001D50D4">
        <w:rPr>
          <w:rFonts w:cs="Calibri"/>
          <w:i/>
          <w:spacing w:val="-6"/>
          <w:w w:val="90"/>
        </w:rPr>
        <w:t xml:space="preserve"> </w:t>
      </w:r>
      <w:r w:rsidRPr="001D50D4">
        <w:rPr>
          <w:rFonts w:cs="Calibri"/>
          <w:i/>
          <w:w w:val="90"/>
        </w:rPr>
        <w:t>le</w:t>
      </w:r>
      <w:r w:rsidRPr="001D50D4">
        <w:rPr>
          <w:rFonts w:cs="Calibri"/>
          <w:i/>
          <w:spacing w:val="-8"/>
          <w:w w:val="90"/>
        </w:rPr>
        <w:t xml:space="preserve"> </w:t>
      </w:r>
      <w:r w:rsidRPr="001D50D4">
        <w:rPr>
          <w:rFonts w:cs="Calibri"/>
          <w:i/>
          <w:w w:val="90"/>
        </w:rPr>
        <w:t>consentement</w:t>
      </w:r>
      <w:r w:rsidRPr="001D50D4">
        <w:rPr>
          <w:rFonts w:cs="Calibri"/>
          <w:i/>
          <w:spacing w:val="-7"/>
          <w:w w:val="90"/>
        </w:rPr>
        <w:t xml:space="preserve"> </w:t>
      </w:r>
      <w:r w:rsidRPr="001D50D4">
        <w:rPr>
          <w:rFonts w:cs="Calibri"/>
          <w:i/>
          <w:w w:val="90"/>
        </w:rPr>
        <w:t>à</w:t>
      </w:r>
      <w:r w:rsidRPr="001D50D4">
        <w:rPr>
          <w:rFonts w:cs="Calibri"/>
          <w:i/>
          <w:spacing w:val="-7"/>
          <w:w w:val="90"/>
        </w:rPr>
        <w:t xml:space="preserve"> </w:t>
      </w:r>
      <w:r w:rsidRPr="001D50D4">
        <w:rPr>
          <w:rFonts w:cs="Calibri"/>
          <w:i/>
          <w:w w:val="90"/>
        </w:rPr>
        <w:t>l’écrasement</w:t>
      </w:r>
      <w:r w:rsidRPr="001D50D4">
        <w:rPr>
          <w:rFonts w:cs="Calibri"/>
          <w:i/>
          <w:spacing w:val="-7"/>
          <w:w w:val="90"/>
        </w:rPr>
        <w:t xml:space="preserve"> </w:t>
      </w:r>
      <w:r w:rsidRPr="001D50D4">
        <w:rPr>
          <w:rFonts w:cs="Calibri"/>
          <w:i/>
          <w:w w:val="90"/>
        </w:rPr>
        <w:t>de</w:t>
      </w:r>
      <w:r w:rsidRPr="001D50D4">
        <w:rPr>
          <w:rFonts w:cs="Calibri"/>
          <w:i/>
          <w:spacing w:val="-7"/>
          <w:w w:val="90"/>
        </w:rPr>
        <w:t xml:space="preserve"> </w:t>
      </w:r>
      <w:r w:rsidRPr="001D50D4">
        <w:rPr>
          <w:rFonts w:cs="Calibri"/>
          <w:i/>
          <w:w w:val="90"/>
        </w:rPr>
        <w:t>Gaza</w:t>
      </w:r>
      <w:r w:rsidRPr="001D50D4">
        <w:rPr>
          <w:rFonts w:cs="Calibri"/>
          <w:w w:val="90"/>
        </w:rPr>
        <w:t>,</w:t>
      </w:r>
      <w:r w:rsidRPr="001D50D4">
        <w:rPr>
          <w:rFonts w:cs="Calibri"/>
          <w:spacing w:val="-8"/>
          <w:w w:val="90"/>
        </w:rPr>
        <w:t xml:space="preserve"> </w:t>
      </w:r>
      <w:r w:rsidRPr="001D50D4">
        <w:rPr>
          <w:rFonts w:cs="Calibri"/>
          <w:w w:val="90"/>
        </w:rPr>
        <w:t>pages</w:t>
      </w:r>
      <w:r w:rsidRPr="001D50D4">
        <w:rPr>
          <w:rFonts w:cs="Calibri"/>
          <w:spacing w:val="-8"/>
          <w:w w:val="90"/>
        </w:rPr>
        <w:t xml:space="preserve"> </w:t>
      </w:r>
      <w:r w:rsidRPr="001D50D4">
        <w:rPr>
          <w:rFonts w:cs="Calibri"/>
          <w:w w:val="90"/>
        </w:rPr>
        <w:t>139</w:t>
      </w:r>
      <w:r w:rsidRPr="001D50D4">
        <w:rPr>
          <w:rFonts w:cs="Calibri"/>
          <w:spacing w:val="-5"/>
          <w:w w:val="90"/>
        </w:rPr>
        <w:t xml:space="preserve"> </w:t>
      </w:r>
      <w:r w:rsidRPr="001D50D4">
        <w:rPr>
          <w:rFonts w:cs="Calibri"/>
          <w:w w:val="90"/>
        </w:rPr>
        <w:t>à</w:t>
      </w:r>
      <w:r w:rsidRPr="001D50D4">
        <w:rPr>
          <w:rFonts w:cs="Calibri"/>
          <w:spacing w:val="-8"/>
          <w:w w:val="90"/>
        </w:rPr>
        <w:t xml:space="preserve"> </w:t>
      </w:r>
      <w:r w:rsidRPr="001D50D4">
        <w:rPr>
          <w:rFonts w:cs="Calibri"/>
          <w:spacing w:val="-5"/>
          <w:w w:val="90"/>
        </w:rPr>
        <w:t>140</w:t>
      </w:r>
      <w:r>
        <w:rPr>
          <w:rFonts w:cs="Calibri"/>
          <w:spacing w:val="-5"/>
          <w:w w:val="90"/>
        </w:rPr>
        <w:t>.</w:t>
      </w:r>
    </w:p>
  </w:footnote>
  <w:footnote w:id="15">
    <w:p w14:paraId="762260AC" w14:textId="56D57739" w:rsidR="00D45967" w:rsidRPr="00D45967" w:rsidRDefault="00D45967">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148 à 150</w:t>
      </w:r>
      <w:r>
        <w:rPr>
          <w:rFonts w:cs="Calibri"/>
        </w:rPr>
        <w:t>.</w:t>
      </w:r>
    </w:p>
  </w:footnote>
  <w:footnote w:id="16">
    <w:p w14:paraId="7A1C9FB0" w14:textId="56CA2E4F" w:rsidR="003C0CA9" w:rsidRPr="003C0CA9" w:rsidRDefault="003C0CA9">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154 à 155</w:t>
      </w:r>
      <w:r>
        <w:rPr>
          <w:rFonts w:cs="Calibri"/>
        </w:rPr>
        <w:t>.</w:t>
      </w:r>
    </w:p>
  </w:footnote>
  <w:footnote w:id="17">
    <w:p w14:paraId="5F7DC3E1" w14:textId="462EC138" w:rsidR="00FF326C" w:rsidRPr="00FF326C" w:rsidRDefault="00FF326C">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160 à 162</w:t>
      </w:r>
      <w:r>
        <w:rPr>
          <w:rFonts w:cs="Calibri"/>
        </w:rPr>
        <w:t>.</w:t>
      </w:r>
    </w:p>
  </w:footnote>
  <w:footnote w:id="18">
    <w:p w14:paraId="00E179FE" w14:textId="545BEAF0" w:rsidR="00A4695D" w:rsidRPr="00A4695D" w:rsidRDefault="00A4695D">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162 à 163</w:t>
      </w:r>
      <w:r>
        <w:rPr>
          <w:rFonts w:cs="Calibri"/>
        </w:rPr>
        <w:t>.</w:t>
      </w:r>
    </w:p>
  </w:footnote>
  <w:footnote w:id="19">
    <w:p w14:paraId="173B12BE" w14:textId="614ED76B" w:rsidR="00970A38" w:rsidRPr="00970A38" w:rsidRDefault="00970A38">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164 à 166</w:t>
      </w:r>
      <w:r>
        <w:rPr>
          <w:rFonts w:cs="Calibri"/>
        </w:rPr>
        <w:t>.</w:t>
      </w:r>
    </w:p>
  </w:footnote>
  <w:footnote w:id="20">
    <w:p w14:paraId="0FB479C9" w14:textId="4CF080C4" w:rsidR="00520D21" w:rsidRPr="00520D21" w:rsidRDefault="00520D21">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169 et 170</w:t>
      </w:r>
      <w:r>
        <w:rPr>
          <w:rFonts w:cs="Calibri"/>
        </w:rPr>
        <w:t>.</w:t>
      </w:r>
    </w:p>
  </w:footnote>
  <w:footnote w:id="21">
    <w:p w14:paraId="7CA95FDE" w14:textId="75DD7852" w:rsidR="005831CA" w:rsidRPr="005831CA" w:rsidRDefault="005831CA">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171 à 173</w:t>
      </w:r>
      <w:r>
        <w:rPr>
          <w:rFonts w:cs="Calibri"/>
        </w:rPr>
        <w:t>.</w:t>
      </w:r>
    </w:p>
  </w:footnote>
  <w:footnote w:id="22">
    <w:p w14:paraId="15F0F9D1" w14:textId="2313D125" w:rsidR="000660A9" w:rsidRPr="000660A9" w:rsidRDefault="000660A9">
      <w:pPr>
        <w:pStyle w:val="Notedebasdepage"/>
        <w:rPr>
          <w:lang w:val="fr-CA"/>
        </w:rPr>
      </w:pPr>
      <w:r>
        <w:rPr>
          <w:rStyle w:val="Appelnotedebasdep"/>
        </w:rPr>
        <w:footnoteRef/>
      </w:r>
      <w:r>
        <w:t xml:space="preserve"> </w:t>
      </w:r>
      <w:r w:rsidRPr="00EB2911">
        <w:rPr>
          <w:rFonts w:cs="Calibri"/>
        </w:rPr>
        <w:t xml:space="preserve">Didier </w:t>
      </w:r>
      <w:proofErr w:type="spellStart"/>
      <w:r w:rsidRPr="00EB2911">
        <w:rPr>
          <w:rFonts w:cs="Calibri"/>
        </w:rPr>
        <w:t>Fassin</w:t>
      </w:r>
      <w:proofErr w:type="spellEnd"/>
      <w:r w:rsidRPr="00EB2911">
        <w:rPr>
          <w:rFonts w:cs="Calibri"/>
        </w:rPr>
        <w:t xml:space="preserve">, </w:t>
      </w:r>
      <w:r w:rsidRPr="00EB2911">
        <w:rPr>
          <w:rFonts w:cs="Calibri"/>
          <w:i/>
        </w:rPr>
        <w:t>Une étrange défaite, Sur le consentement à l’écrasement de Gaza</w:t>
      </w:r>
      <w:r w:rsidRPr="00EB2911">
        <w:rPr>
          <w:rFonts w:cs="Calibri"/>
        </w:rPr>
        <w:t>, pages 173 et 174</w:t>
      </w:r>
      <w:r>
        <w:rPr>
          <w:rFonts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5B25"/>
    <w:multiLevelType w:val="hybridMultilevel"/>
    <w:tmpl w:val="B25ABC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B8752F"/>
    <w:multiLevelType w:val="hybridMultilevel"/>
    <w:tmpl w:val="B03ED57A"/>
    <w:lvl w:ilvl="0" w:tplc="6A4EBDFA">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92E4E342">
      <w:numFmt w:val="bullet"/>
      <w:lvlText w:val="•"/>
      <w:lvlJc w:val="left"/>
      <w:pPr>
        <w:ind w:left="1628" w:hanging="360"/>
      </w:pPr>
      <w:rPr>
        <w:rFonts w:hint="default"/>
        <w:lang w:val="fr-FR" w:eastAsia="en-US" w:bidi="ar-SA"/>
      </w:rPr>
    </w:lvl>
    <w:lvl w:ilvl="2" w:tplc="E6803884">
      <w:numFmt w:val="bullet"/>
      <w:lvlText w:val="•"/>
      <w:lvlJc w:val="left"/>
      <w:pPr>
        <w:ind w:left="2436" w:hanging="360"/>
      </w:pPr>
      <w:rPr>
        <w:rFonts w:hint="default"/>
        <w:lang w:val="fr-FR" w:eastAsia="en-US" w:bidi="ar-SA"/>
      </w:rPr>
    </w:lvl>
    <w:lvl w:ilvl="3" w:tplc="869A4B96">
      <w:numFmt w:val="bullet"/>
      <w:lvlText w:val="•"/>
      <w:lvlJc w:val="left"/>
      <w:pPr>
        <w:ind w:left="3244" w:hanging="360"/>
      </w:pPr>
      <w:rPr>
        <w:rFonts w:hint="default"/>
        <w:lang w:val="fr-FR" w:eastAsia="en-US" w:bidi="ar-SA"/>
      </w:rPr>
    </w:lvl>
    <w:lvl w:ilvl="4" w:tplc="0E2E55C6">
      <w:numFmt w:val="bullet"/>
      <w:lvlText w:val="•"/>
      <w:lvlJc w:val="left"/>
      <w:pPr>
        <w:ind w:left="4052" w:hanging="360"/>
      </w:pPr>
      <w:rPr>
        <w:rFonts w:hint="default"/>
        <w:lang w:val="fr-FR" w:eastAsia="en-US" w:bidi="ar-SA"/>
      </w:rPr>
    </w:lvl>
    <w:lvl w:ilvl="5" w:tplc="23AABD8E">
      <w:numFmt w:val="bullet"/>
      <w:lvlText w:val="•"/>
      <w:lvlJc w:val="left"/>
      <w:pPr>
        <w:ind w:left="4860" w:hanging="360"/>
      </w:pPr>
      <w:rPr>
        <w:rFonts w:hint="default"/>
        <w:lang w:val="fr-FR" w:eastAsia="en-US" w:bidi="ar-SA"/>
      </w:rPr>
    </w:lvl>
    <w:lvl w:ilvl="6" w:tplc="8C727A44">
      <w:numFmt w:val="bullet"/>
      <w:lvlText w:val="•"/>
      <w:lvlJc w:val="left"/>
      <w:pPr>
        <w:ind w:left="5668" w:hanging="360"/>
      </w:pPr>
      <w:rPr>
        <w:rFonts w:hint="default"/>
        <w:lang w:val="fr-FR" w:eastAsia="en-US" w:bidi="ar-SA"/>
      </w:rPr>
    </w:lvl>
    <w:lvl w:ilvl="7" w:tplc="FECA1B54">
      <w:numFmt w:val="bullet"/>
      <w:lvlText w:val="•"/>
      <w:lvlJc w:val="left"/>
      <w:pPr>
        <w:ind w:left="6476" w:hanging="360"/>
      </w:pPr>
      <w:rPr>
        <w:rFonts w:hint="default"/>
        <w:lang w:val="fr-FR" w:eastAsia="en-US" w:bidi="ar-SA"/>
      </w:rPr>
    </w:lvl>
    <w:lvl w:ilvl="8" w:tplc="A5425D94">
      <w:numFmt w:val="bullet"/>
      <w:lvlText w:val="•"/>
      <w:lvlJc w:val="left"/>
      <w:pPr>
        <w:ind w:left="7284" w:hanging="360"/>
      </w:pPr>
      <w:rPr>
        <w:rFonts w:hint="default"/>
        <w:lang w:val="fr-FR" w:eastAsia="en-US" w:bidi="ar-SA"/>
      </w:rPr>
    </w:lvl>
  </w:abstractNum>
  <w:abstractNum w:abstractNumId="2" w15:restartNumberingAfterBreak="0">
    <w:nsid w:val="0896142F"/>
    <w:multiLevelType w:val="hybridMultilevel"/>
    <w:tmpl w:val="150E3616"/>
    <w:lvl w:ilvl="0" w:tplc="52ACE2F6">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97648392">
      <w:numFmt w:val="bullet"/>
      <w:lvlText w:val="•"/>
      <w:lvlJc w:val="left"/>
      <w:pPr>
        <w:ind w:left="1628" w:hanging="360"/>
      </w:pPr>
      <w:rPr>
        <w:rFonts w:hint="default"/>
        <w:lang w:val="fr-FR" w:eastAsia="en-US" w:bidi="ar-SA"/>
      </w:rPr>
    </w:lvl>
    <w:lvl w:ilvl="2" w:tplc="0734CDD2">
      <w:numFmt w:val="bullet"/>
      <w:lvlText w:val="•"/>
      <w:lvlJc w:val="left"/>
      <w:pPr>
        <w:ind w:left="2436" w:hanging="360"/>
      </w:pPr>
      <w:rPr>
        <w:rFonts w:hint="default"/>
        <w:lang w:val="fr-FR" w:eastAsia="en-US" w:bidi="ar-SA"/>
      </w:rPr>
    </w:lvl>
    <w:lvl w:ilvl="3" w:tplc="80688EEA">
      <w:numFmt w:val="bullet"/>
      <w:lvlText w:val="•"/>
      <w:lvlJc w:val="left"/>
      <w:pPr>
        <w:ind w:left="3244" w:hanging="360"/>
      </w:pPr>
      <w:rPr>
        <w:rFonts w:hint="default"/>
        <w:lang w:val="fr-FR" w:eastAsia="en-US" w:bidi="ar-SA"/>
      </w:rPr>
    </w:lvl>
    <w:lvl w:ilvl="4" w:tplc="3C2E1B50">
      <w:numFmt w:val="bullet"/>
      <w:lvlText w:val="•"/>
      <w:lvlJc w:val="left"/>
      <w:pPr>
        <w:ind w:left="4052" w:hanging="360"/>
      </w:pPr>
      <w:rPr>
        <w:rFonts w:hint="default"/>
        <w:lang w:val="fr-FR" w:eastAsia="en-US" w:bidi="ar-SA"/>
      </w:rPr>
    </w:lvl>
    <w:lvl w:ilvl="5" w:tplc="358CACE8">
      <w:numFmt w:val="bullet"/>
      <w:lvlText w:val="•"/>
      <w:lvlJc w:val="left"/>
      <w:pPr>
        <w:ind w:left="4860" w:hanging="360"/>
      </w:pPr>
      <w:rPr>
        <w:rFonts w:hint="default"/>
        <w:lang w:val="fr-FR" w:eastAsia="en-US" w:bidi="ar-SA"/>
      </w:rPr>
    </w:lvl>
    <w:lvl w:ilvl="6" w:tplc="C636833E">
      <w:numFmt w:val="bullet"/>
      <w:lvlText w:val="•"/>
      <w:lvlJc w:val="left"/>
      <w:pPr>
        <w:ind w:left="5668" w:hanging="360"/>
      </w:pPr>
      <w:rPr>
        <w:rFonts w:hint="default"/>
        <w:lang w:val="fr-FR" w:eastAsia="en-US" w:bidi="ar-SA"/>
      </w:rPr>
    </w:lvl>
    <w:lvl w:ilvl="7" w:tplc="7084DE14">
      <w:numFmt w:val="bullet"/>
      <w:lvlText w:val="•"/>
      <w:lvlJc w:val="left"/>
      <w:pPr>
        <w:ind w:left="6476" w:hanging="360"/>
      </w:pPr>
      <w:rPr>
        <w:rFonts w:hint="default"/>
        <w:lang w:val="fr-FR" w:eastAsia="en-US" w:bidi="ar-SA"/>
      </w:rPr>
    </w:lvl>
    <w:lvl w:ilvl="8" w:tplc="3DC6545C">
      <w:numFmt w:val="bullet"/>
      <w:lvlText w:val="•"/>
      <w:lvlJc w:val="left"/>
      <w:pPr>
        <w:ind w:left="7284" w:hanging="360"/>
      </w:pPr>
      <w:rPr>
        <w:rFonts w:hint="default"/>
        <w:lang w:val="fr-FR" w:eastAsia="en-US" w:bidi="ar-SA"/>
      </w:rPr>
    </w:lvl>
  </w:abstractNum>
  <w:abstractNum w:abstractNumId="3" w15:restartNumberingAfterBreak="0">
    <w:nsid w:val="0CF679B1"/>
    <w:multiLevelType w:val="hybridMultilevel"/>
    <w:tmpl w:val="BA280F6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DAC2586"/>
    <w:multiLevelType w:val="hybridMultilevel"/>
    <w:tmpl w:val="85463386"/>
    <w:lvl w:ilvl="0" w:tplc="E820CFD8">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30FECFB0">
      <w:numFmt w:val="bullet"/>
      <w:lvlText w:val="•"/>
      <w:lvlJc w:val="left"/>
      <w:pPr>
        <w:ind w:left="1628" w:hanging="360"/>
      </w:pPr>
      <w:rPr>
        <w:rFonts w:hint="default"/>
        <w:lang w:val="fr-FR" w:eastAsia="en-US" w:bidi="ar-SA"/>
      </w:rPr>
    </w:lvl>
    <w:lvl w:ilvl="2" w:tplc="26109D56">
      <w:numFmt w:val="bullet"/>
      <w:lvlText w:val="•"/>
      <w:lvlJc w:val="left"/>
      <w:pPr>
        <w:ind w:left="2436" w:hanging="360"/>
      </w:pPr>
      <w:rPr>
        <w:rFonts w:hint="default"/>
        <w:lang w:val="fr-FR" w:eastAsia="en-US" w:bidi="ar-SA"/>
      </w:rPr>
    </w:lvl>
    <w:lvl w:ilvl="3" w:tplc="97B43842">
      <w:numFmt w:val="bullet"/>
      <w:lvlText w:val="•"/>
      <w:lvlJc w:val="left"/>
      <w:pPr>
        <w:ind w:left="3244" w:hanging="360"/>
      </w:pPr>
      <w:rPr>
        <w:rFonts w:hint="default"/>
        <w:lang w:val="fr-FR" w:eastAsia="en-US" w:bidi="ar-SA"/>
      </w:rPr>
    </w:lvl>
    <w:lvl w:ilvl="4" w:tplc="B98CB2A2">
      <w:numFmt w:val="bullet"/>
      <w:lvlText w:val="•"/>
      <w:lvlJc w:val="left"/>
      <w:pPr>
        <w:ind w:left="4052" w:hanging="360"/>
      </w:pPr>
      <w:rPr>
        <w:rFonts w:hint="default"/>
        <w:lang w:val="fr-FR" w:eastAsia="en-US" w:bidi="ar-SA"/>
      </w:rPr>
    </w:lvl>
    <w:lvl w:ilvl="5" w:tplc="98B6EE92">
      <w:numFmt w:val="bullet"/>
      <w:lvlText w:val="•"/>
      <w:lvlJc w:val="left"/>
      <w:pPr>
        <w:ind w:left="4860" w:hanging="360"/>
      </w:pPr>
      <w:rPr>
        <w:rFonts w:hint="default"/>
        <w:lang w:val="fr-FR" w:eastAsia="en-US" w:bidi="ar-SA"/>
      </w:rPr>
    </w:lvl>
    <w:lvl w:ilvl="6" w:tplc="19B6AD56">
      <w:numFmt w:val="bullet"/>
      <w:lvlText w:val="•"/>
      <w:lvlJc w:val="left"/>
      <w:pPr>
        <w:ind w:left="5668" w:hanging="360"/>
      </w:pPr>
      <w:rPr>
        <w:rFonts w:hint="default"/>
        <w:lang w:val="fr-FR" w:eastAsia="en-US" w:bidi="ar-SA"/>
      </w:rPr>
    </w:lvl>
    <w:lvl w:ilvl="7" w:tplc="70AE3F68">
      <w:numFmt w:val="bullet"/>
      <w:lvlText w:val="•"/>
      <w:lvlJc w:val="left"/>
      <w:pPr>
        <w:ind w:left="6476" w:hanging="360"/>
      </w:pPr>
      <w:rPr>
        <w:rFonts w:hint="default"/>
        <w:lang w:val="fr-FR" w:eastAsia="en-US" w:bidi="ar-SA"/>
      </w:rPr>
    </w:lvl>
    <w:lvl w:ilvl="8" w:tplc="DC3223B8">
      <w:numFmt w:val="bullet"/>
      <w:lvlText w:val="•"/>
      <w:lvlJc w:val="left"/>
      <w:pPr>
        <w:ind w:left="7284" w:hanging="360"/>
      </w:pPr>
      <w:rPr>
        <w:rFonts w:hint="default"/>
        <w:lang w:val="fr-FR" w:eastAsia="en-US" w:bidi="ar-SA"/>
      </w:rPr>
    </w:lvl>
  </w:abstractNum>
  <w:abstractNum w:abstractNumId="5" w15:restartNumberingAfterBreak="0">
    <w:nsid w:val="14B52350"/>
    <w:multiLevelType w:val="hybridMultilevel"/>
    <w:tmpl w:val="DAC2CEE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64B7FB0"/>
    <w:multiLevelType w:val="hybridMultilevel"/>
    <w:tmpl w:val="BB04139A"/>
    <w:lvl w:ilvl="0" w:tplc="7744093C">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8592BE80">
      <w:numFmt w:val="bullet"/>
      <w:lvlText w:val="•"/>
      <w:lvlJc w:val="left"/>
      <w:pPr>
        <w:ind w:left="1628" w:hanging="360"/>
      </w:pPr>
      <w:rPr>
        <w:rFonts w:hint="default"/>
        <w:lang w:val="fr-FR" w:eastAsia="en-US" w:bidi="ar-SA"/>
      </w:rPr>
    </w:lvl>
    <w:lvl w:ilvl="2" w:tplc="B5D643C6">
      <w:numFmt w:val="bullet"/>
      <w:lvlText w:val="•"/>
      <w:lvlJc w:val="left"/>
      <w:pPr>
        <w:ind w:left="2436" w:hanging="360"/>
      </w:pPr>
      <w:rPr>
        <w:rFonts w:hint="default"/>
        <w:lang w:val="fr-FR" w:eastAsia="en-US" w:bidi="ar-SA"/>
      </w:rPr>
    </w:lvl>
    <w:lvl w:ilvl="3" w:tplc="65503EFE">
      <w:numFmt w:val="bullet"/>
      <w:lvlText w:val="•"/>
      <w:lvlJc w:val="left"/>
      <w:pPr>
        <w:ind w:left="3244" w:hanging="360"/>
      </w:pPr>
      <w:rPr>
        <w:rFonts w:hint="default"/>
        <w:lang w:val="fr-FR" w:eastAsia="en-US" w:bidi="ar-SA"/>
      </w:rPr>
    </w:lvl>
    <w:lvl w:ilvl="4" w:tplc="19542B46">
      <w:numFmt w:val="bullet"/>
      <w:lvlText w:val="•"/>
      <w:lvlJc w:val="left"/>
      <w:pPr>
        <w:ind w:left="4052" w:hanging="360"/>
      </w:pPr>
      <w:rPr>
        <w:rFonts w:hint="default"/>
        <w:lang w:val="fr-FR" w:eastAsia="en-US" w:bidi="ar-SA"/>
      </w:rPr>
    </w:lvl>
    <w:lvl w:ilvl="5" w:tplc="A1501C16">
      <w:numFmt w:val="bullet"/>
      <w:lvlText w:val="•"/>
      <w:lvlJc w:val="left"/>
      <w:pPr>
        <w:ind w:left="4860" w:hanging="360"/>
      </w:pPr>
      <w:rPr>
        <w:rFonts w:hint="default"/>
        <w:lang w:val="fr-FR" w:eastAsia="en-US" w:bidi="ar-SA"/>
      </w:rPr>
    </w:lvl>
    <w:lvl w:ilvl="6" w:tplc="B78C1F1A">
      <w:numFmt w:val="bullet"/>
      <w:lvlText w:val="•"/>
      <w:lvlJc w:val="left"/>
      <w:pPr>
        <w:ind w:left="5668" w:hanging="360"/>
      </w:pPr>
      <w:rPr>
        <w:rFonts w:hint="default"/>
        <w:lang w:val="fr-FR" w:eastAsia="en-US" w:bidi="ar-SA"/>
      </w:rPr>
    </w:lvl>
    <w:lvl w:ilvl="7" w:tplc="6D60967E">
      <w:numFmt w:val="bullet"/>
      <w:lvlText w:val="•"/>
      <w:lvlJc w:val="left"/>
      <w:pPr>
        <w:ind w:left="6476" w:hanging="360"/>
      </w:pPr>
      <w:rPr>
        <w:rFonts w:hint="default"/>
        <w:lang w:val="fr-FR" w:eastAsia="en-US" w:bidi="ar-SA"/>
      </w:rPr>
    </w:lvl>
    <w:lvl w:ilvl="8" w:tplc="D24AEB36">
      <w:numFmt w:val="bullet"/>
      <w:lvlText w:val="•"/>
      <w:lvlJc w:val="left"/>
      <w:pPr>
        <w:ind w:left="7284" w:hanging="360"/>
      </w:pPr>
      <w:rPr>
        <w:rFonts w:hint="default"/>
        <w:lang w:val="fr-FR" w:eastAsia="en-US" w:bidi="ar-SA"/>
      </w:rPr>
    </w:lvl>
  </w:abstractNum>
  <w:abstractNum w:abstractNumId="7" w15:restartNumberingAfterBreak="0">
    <w:nsid w:val="1B850438"/>
    <w:multiLevelType w:val="hybridMultilevel"/>
    <w:tmpl w:val="1918FD58"/>
    <w:lvl w:ilvl="0" w:tplc="B700036E">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F6BC23E0">
      <w:numFmt w:val="bullet"/>
      <w:lvlText w:val="•"/>
      <w:lvlJc w:val="left"/>
      <w:pPr>
        <w:ind w:left="1628" w:hanging="360"/>
      </w:pPr>
      <w:rPr>
        <w:rFonts w:hint="default"/>
        <w:lang w:val="fr-FR" w:eastAsia="en-US" w:bidi="ar-SA"/>
      </w:rPr>
    </w:lvl>
    <w:lvl w:ilvl="2" w:tplc="D16E246A">
      <w:numFmt w:val="bullet"/>
      <w:lvlText w:val="•"/>
      <w:lvlJc w:val="left"/>
      <w:pPr>
        <w:ind w:left="2436" w:hanging="360"/>
      </w:pPr>
      <w:rPr>
        <w:rFonts w:hint="default"/>
        <w:lang w:val="fr-FR" w:eastAsia="en-US" w:bidi="ar-SA"/>
      </w:rPr>
    </w:lvl>
    <w:lvl w:ilvl="3" w:tplc="3F62195E">
      <w:numFmt w:val="bullet"/>
      <w:lvlText w:val="•"/>
      <w:lvlJc w:val="left"/>
      <w:pPr>
        <w:ind w:left="3244" w:hanging="360"/>
      </w:pPr>
      <w:rPr>
        <w:rFonts w:hint="default"/>
        <w:lang w:val="fr-FR" w:eastAsia="en-US" w:bidi="ar-SA"/>
      </w:rPr>
    </w:lvl>
    <w:lvl w:ilvl="4" w:tplc="730291AE">
      <w:numFmt w:val="bullet"/>
      <w:lvlText w:val="•"/>
      <w:lvlJc w:val="left"/>
      <w:pPr>
        <w:ind w:left="4052" w:hanging="360"/>
      </w:pPr>
      <w:rPr>
        <w:rFonts w:hint="default"/>
        <w:lang w:val="fr-FR" w:eastAsia="en-US" w:bidi="ar-SA"/>
      </w:rPr>
    </w:lvl>
    <w:lvl w:ilvl="5" w:tplc="6DEA4540">
      <w:numFmt w:val="bullet"/>
      <w:lvlText w:val="•"/>
      <w:lvlJc w:val="left"/>
      <w:pPr>
        <w:ind w:left="4860" w:hanging="360"/>
      </w:pPr>
      <w:rPr>
        <w:rFonts w:hint="default"/>
        <w:lang w:val="fr-FR" w:eastAsia="en-US" w:bidi="ar-SA"/>
      </w:rPr>
    </w:lvl>
    <w:lvl w:ilvl="6" w:tplc="0A7CBA9A">
      <w:numFmt w:val="bullet"/>
      <w:lvlText w:val="•"/>
      <w:lvlJc w:val="left"/>
      <w:pPr>
        <w:ind w:left="5668" w:hanging="360"/>
      </w:pPr>
      <w:rPr>
        <w:rFonts w:hint="default"/>
        <w:lang w:val="fr-FR" w:eastAsia="en-US" w:bidi="ar-SA"/>
      </w:rPr>
    </w:lvl>
    <w:lvl w:ilvl="7" w:tplc="26B07A60">
      <w:numFmt w:val="bullet"/>
      <w:lvlText w:val="•"/>
      <w:lvlJc w:val="left"/>
      <w:pPr>
        <w:ind w:left="6476" w:hanging="360"/>
      </w:pPr>
      <w:rPr>
        <w:rFonts w:hint="default"/>
        <w:lang w:val="fr-FR" w:eastAsia="en-US" w:bidi="ar-SA"/>
      </w:rPr>
    </w:lvl>
    <w:lvl w:ilvl="8" w:tplc="33F0FF26">
      <w:numFmt w:val="bullet"/>
      <w:lvlText w:val="•"/>
      <w:lvlJc w:val="left"/>
      <w:pPr>
        <w:ind w:left="7284" w:hanging="360"/>
      </w:pPr>
      <w:rPr>
        <w:rFonts w:hint="default"/>
        <w:lang w:val="fr-FR" w:eastAsia="en-US" w:bidi="ar-SA"/>
      </w:rPr>
    </w:lvl>
  </w:abstractNum>
  <w:abstractNum w:abstractNumId="8" w15:restartNumberingAfterBreak="0">
    <w:nsid w:val="1C732654"/>
    <w:multiLevelType w:val="hybridMultilevel"/>
    <w:tmpl w:val="3640BA2C"/>
    <w:lvl w:ilvl="0" w:tplc="B1FE02E2">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FFA4D5BC">
      <w:numFmt w:val="bullet"/>
      <w:lvlText w:val="•"/>
      <w:lvlJc w:val="left"/>
      <w:pPr>
        <w:ind w:left="1628" w:hanging="360"/>
      </w:pPr>
      <w:rPr>
        <w:rFonts w:hint="default"/>
        <w:lang w:val="fr-FR" w:eastAsia="en-US" w:bidi="ar-SA"/>
      </w:rPr>
    </w:lvl>
    <w:lvl w:ilvl="2" w:tplc="4BA8E5F2">
      <w:numFmt w:val="bullet"/>
      <w:lvlText w:val="•"/>
      <w:lvlJc w:val="left"/>
      <w:pPr>
        <w:ind w:left="2436" w:hanging="360"/>
      </w:pPr>
      <w:rPr>
        <w:rFonts w:hint="default"/>
        <w:lang w:val="fr-FR" w:eastAsia="en-US" w:bidi="ar-SA"/>
      </w:rPr>
    </w:lvl>
    <w:lvl w:ilvl="3" w:tplc="F7FAED92">
      <w:numFmt w:val="bullet"/>
      <w:lvlText w:val="•"/>
      <w:lvlJc w:val="left"/>
      <w:pPr>
        <w:ind w:left="3244" w:hanging="360"/>
      </w:pPr>
      <w:rPr>
        <w:rFonts w:hint="default"/>
        <w:lang w:val="fr-FR" w:eastAsia="en-US" w:bidi="ar-SA"/>
      </w:rPr>
    </w:lvl>
    <w:lvl w:ilvl="4" w:tplc="792C2C0E">
      <w:numFmt w:val="bullet"/>
      <w:lvlText w:val="•"/>
      <w:lvlJc w:val="left"/>
      <w:pPr>
        <w:ind w:left="4052" w:hanging="360"/>
      </w:pPr>
      <w:rPr>
        <w:rFonts w:hint="default"/>
        <w:lang w:val="fr-FR" w:eastAsia="en-US" w:bidi="ar-SA"/>
      </w:rPr>
    </w:lvl>
    <w:lvl w:ilvl="5" w:tplc="A3382A64">
      <w:numFmt w:val="bullet"/>
      <w:lvlText w:val="•"/>
      <w:lvlJc w:val="left"/>
      <w:pPr>
        <w:ind w:left="4860" w:hanging="360"/>
      </w:pPr>
      <w:rPr>
        <w:rFonts w:hint="default"/>
        <w:lang w:val="fr-FR" w:eastAsia="en-US" w:bidi="ar-SA"/>
      </w:rPr>
    </w:lvl>
    <w:lvl w:ilvl="6" w:tplc="ABCA19E4">
      <w:numFmt w:val="bullet"/>
      <w:lvlText w:val="•"/>
      <w:lvlJc w:val="left"/>
      <w:pPr>
        <w:ind w:left="5668" w:hanging="360"/>
      </w:pPr>
      <w:rPr>
        <w:rFonts w:hint="default"/>
        <w:lang w:val="fr-FR" w:eastAsia="en-US" w:bidi="ar-SA"/>
      </w:rPr>
    </w:lvl>
    <w:lvl w:ilvl="7" w:tplc="AD147536">
      <w:numFmt w:val="bullet"/>
      <w:lvlText w:val="•"/>
      <w:lvlJc w:val="left"/>
      <w:pPr>
        <w:ind w:left="6476" w:hanging="360"/>
      </w:pPr>
      <w:rPr>
        <w:rFonts w:hint="default"/>
        <w:lang w:val="fr-FR" w:eastAsia="en-US" w:bidi="ar-SA"/>
      </w:rPr>
    </w:lvl>
    <w:lvl w:ilvl="8" w:tplc="FE88666E">
      <w:numFmt w:val="bullet"/>
      <w:lvlText w:val="•"/>
      <w:lvlJc w:val="left"/>
      <w:pPr>
        <w:ind w:left="7284" w:hanging="360"/>
      </w:pPr>
      <w:rPr>
        <w:rFonts w:hint="default"/>
        <w:lang w:val="fr-FR" w:eastAsia="en-US" w:bidi="ar-SA"/>
      </w:rPr>
    </w:lvl>
  </w:abstractNum>
  <w:abstractNum w:abstractNumId="9" w15:restartNumberingAfterBreak="0">
    <w:nsid w:val="21D5294B"/>
    <w:multiLevelType w:val="hybridMultilevel"/>
    <w:tmpl w:val="DC32EA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2664EF7"/>
    <w:multiLevelType w:val="hybridMultilevel"/>
    <w:tmpl w:val="22406602"/>
    <w:lvl w:ilvl="0" w:tplc="FACAB6B6">
      <w:start w:val="2"/>
      <w:numFmt w:val="decimal"/>
      <w:lvlText w:val="%1."/>
      <w:lvlJc w:val="left"/>
      <w:pPr>
        <w:ind w:left="427" w:hanging="328"/>
      </w:pPr>
      <w:rPr>
        <w:rFonts w:ascii="Arial" w:eastAsia="Arial" w:hAnsi="Arial" w:cs="Arial" w:hint="default"/>
        <w:b w:val="0"/>
        <w:bCs w:val="0"/>
        <w:i w:val="0"/>
        <w:iCs w:val="0"/>
        <w:spacing w:val="0"/>
        <w:w w:val="41"/>
        <w:sz w:val="22"/>
        <w:szCs w:val="22"/>
        <w:lang w:val="fr-FR" w:eastAsia="en-US" w:bidi="ar-SA"/>
      </w:rPr>
    </w:lvl>
    <w:lvl w:ilvl="1" w:tplc="FF921C1A">
      <w:start w:val="1"/>
      <w:numFmt w:val="decimal"/>
      <w:lvlText w:val="(%2)"/>
      <w:lvlJc w:val="left"/>
      <w:pPr>
        <w:ind w:left="820" w:hanging="360"/>
      </w:pPr>
      <w:rPr>
        <w:rFonts w:ascii="Arial" w:eastAsia="Arial" w:hAnsi="Arial" w:cs="Arial" w:hint="default"/>
        <w:b w:val="0"/>
        <w:bCs w:val="0"/>
        <w:i w:val="0"/>
        <w:iCs w:val="0"/>
        <w:spacing w:val="0"/>
        <w:w w:val="91"/>
        <w:sz w:val="22"/>
        <w:szCs w:val="22"/>
        <w:lang w:val="fr-FR" w:eastAsia="en-US" w:bidi="ar-SA"/>
      </w:rPr>
    </w:lvl>
    <w:lvl w:ilvl="2" w:tplc="736C5266">
      <w:numFmt w:val="bullet"/>
      <w:lvlText w:val="•"/>
      <w:lvlJc w:val="left"/>
      <w:pPr>
        <w:ind w:left="1717" w:hanging="360"/>
      </w:pPr>
      <w:rPr>
        <w:rFonts w:hint="default"/>
        <w:lang w:val="fr-FR" w:eastAsia="en-US" w:bidi="ar-SA"/>
      </w:rPr>
    </w:lvl>
    <w:lvl w:ilvl="3" w:tplc="74A44A8A">
      <w:numFmt w:val="bullet"/>
      <w:lvlText w:val="•"/>
      <w:lvlJc w:val="left"/>
      <w:pPr>
        <w:ind w:left="2615" w:hanging="360"/>
      </w:pPr>
      <w:rPr>
        <w:rFonts w:hint="default"/>
        <w:lang w:val="fr-FR" w:eastAsia="en-US" w:bidi="ar-SA"/>
      </w:rPr>
    </w:lvl>
    <w:lvl w:ilvl="4" w:tplc="E3B064DE">
      <w:numFmt w:val="bullet"/>
      <w:lvlText w:val="•"/>
      <w:lvlJc w:val="left"/>
      <w:pPr>
        <w:ind w:left="3513" w:hanging="360"/>
      </w:pPr>
      <w:rPr>
        <w:rFonts w:hint="default"/>
        <w:lang w:val="fr-FR" w:eastAsia="en-US" w:bidi="ar-SA"/>
      </w:rPr>
    </w:lvl>
    <w:lvl w:ilvl="5" w:tplc="25CC90BC">
      <w:numFmt w:val="bullet"/>
      <w:lvlText w:val="•"/>
      <w:lvlJc w:val="left"/>
      <w:pPr>
        <w:ind w:left="4411" w:hanging="360"/>
      </w:pPr>
      <w:rPr>
        <w:rFonts w:hint="default"/>
        <w:lang w:val="fr-FR" w:eastAsia="en-US" w:bidi="ar-SA"/>
      </w:rPr>
    </w:lvl>
    <w:lvl w:ilvl="6" w:tplc="E0BC51D8">
      <w:numFmt w:val="bullet"/>
      <w:lvlText w:val="•"/>
      <w:lvlJc w:val="left"/>
      <w:pPr>
        <w:ind w:left="5308" w:hanging="360"/>
      </w:pPr>
      <w:rPr>
        <w:rFonts w:hint="default"/>
        <w:lang w:val="fr-FR" w:eastAsia="en-US" w:bidi="ar-SA"/>
      </w:rPr>
    </w:lvl>
    <w:lvl w:ilvl="7" w:tplc="620E27E4">
      <w:numFmt w:val="bullet"/>
      <w:lvlText w:val="•"/>
      <w:lvlJc w:val="left"/>
      <w:pPr>
        <w:ind w:left="6206" w:hanging="360"/>
      </w:pPr>
      <w:rPr>
        <w:rFonts w:hint="default"/>
        <w:lang w:val="fr-FR" w:eastAsia="en-US" w:bidi="ar-SA"/>
      </w:rPr>
    </w:lvl>
    <w:lvl w:ilvl="8" w:tplc="BE925776">
      <w:numFmt w:val="bullet"/>
      <w:lvlText w:val="•"/>
      <w:lvlJc w:val="left"/>
      <w:pPr>
        <w:ind w:left="7104" w:hanging="360"/>
      </w:pPr>
      <w:rPr>
        <w:rFonts w:hint="default"/>
        <w:lang w:val="fr-FR" w:eastAsia="en-US" w:bidi="ar-SA"/>
      </w:rPr>
    </w:lvl>
  </w:abstractNum>
  <w:abstractNum w:abstractNumId="11" w15:restartNumberingAfterBreak="0">
    <w:nsid w:val="24323E49"/>
    <w:multiLevelType w:val="hybridMultilevel"/>
    <w:tmpl w:val="74D0CCB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6D27836"/>
    <w:multiLevelType w:val="hybridMultilevel"/>
    <w:tmpl w:val="26BC44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B923F5D"/>
    <w:multiLevelType w:val="hybridMultilevel"/>
    <w:tmpl w:val="0D40A56C"/>
    <w:lvl w:ilvl="0" w:tplc="63CE66BA">
      <w:start w:val="1"/>
      <w:numFmt w:val="decimal"/>
      <w:lvlText w:val="%1."/>
      <w:lvlJc w:val="left"/>
      <w:pPr>
        <w:ind w:left="720" w:hanging="360"/>
      </w:pPr>
      <w:rPr>
        <w:rFonts w:ascii="Calibri" w:hAnsi="Calibri" w:hint="default"/>
        <w:b w:val="0"/>
        <w:i w:val="0"/>
        <w:caps w:val="0"/>
        <w:strike w:val="0"/>
        <w:dstrike w:val="0"/>
        <w:vanish w:val="0"/>
        <w:spacing w:val="0"/>
        <w:w w:val="100"/>
        <w:kern w:val="0"/>
        <w:position w:val="0"/>
        <w:sz w:val="21"/>
        <w:u w:val="none"/>
        <w:vertAlign w:val="baseline"/>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E290C46"/>
    <w:multiLevelType w:val="hybridMultilevel"/>
    <w:tmpl w:val="FBBAA696"/>
    <w:lvl w:ilvl="0" w:tplc="76FE54C2">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0318063C">
      <w:numFmt w:val="bullet"/>
      <w:lvlText w:val="•"/>
      <w:lvlJc w:val="left"/>
      <w:pPr>
        <w:ind w:left="1628" w:hanging="360"/>
      </w:pPr>
      <w:rPr>
        <w:rFonts w:hint="default"/>
        <w:lang w:val="fr-FR" w:eastAsia="en-US" w:bidi="ar-SA"/>
      </w:rPr>
    </w:lvl>
    <w:lvl w:ilvl="2" w:tplc="6C82414C">
      <w:numFmt w:val="bullet"/>
      <w:lvlText w:val="•"/>
      <w:lvlJc w:val="left"/>
      <w:pPr>
        <w:ind w:left="2436" w:hanging="360"/>
      </w:pPr>
      <w:rPr>
        <w:rFonts w:hint="default"/>
        <w:lang w:val="fr-FR" w:eastAsia="en-US" w:bidi="ar-SA"/>
      </w:rPr>
    </w:lvl>
    <w:lvl w:ilvl="3" w:tplc="793C730A">
      <w:numFmt w:val="bullet"/>
      <w:lvlText w:val="•"/>
      <w:lvlJc w:val="left"/>
      <w:pPr>
        <w:ind w:left="3244" w:hanging="360"/>
      </w:pPr>
      <w:rPr>
        <w:rFonts w:hint="default"/>
        <w:lang w:val="fr-FR" w:eastAsia="en-US" w:bidi="ar-SA"/>
      </w:rPr>
    </w:lvl>
    <w:lvl w:ilvl="4" w:tplc="B3F43B10">
      <w:numFmt w:val="bullet"/>
      <w:lvlText w:val="•"/>
      <w:lvlJc w:val="left"/>
      <w:pPr>
        <w:ind w:left="4052" w:hanging="360"/>
      </w:pPr>
      <w:rPr>
        <w:rFonts w:hint="default"/>
        <w:lang w:val="fr-FR" w:eastAsia="en-US" w:bidi="ar-SA"/>
      </w:rPr>
    </w:lvl>
    <w:lvl w:ilvl="5" w:tplc="667C353E">
      <w:numFmt w:val="bullet"/>
      <w:lvlText w:val="•"/>
      <w:lvlJc w:val="left"/>
      <w:pPr>
        <w:ind w:left="4860" w:hanging="360"/>
      </w:pPr>
      <w:rPr>
        <w:rFonts w:hint="default"/>
        <w:lang w:val="fr-FR" w:eastAsia="en-US" w:bidi="ar-SA"/>
      </w:rPr>
    </w:lvl>
    <w:lvl w:ilvl="6" w:tplc="D6B8EEEE">
      <w:numFmt w:val="bullet"/>
      <w:lvlText w:val="•"/>
      <w:lvlJc w:val="left"/>
      <w:pPr>
        <w:ind w:left="5668" w:hanging="360"/>
      </w:pPr>
      <w:rPr>
        <w:rFonts w:hint="default"/>
        <w:lang w:val="fr-FR" w:eastAsia="en-US" w:bidi="ar-SA"/>
      </w:rPr>
    </w:lvl>
    <w:lvl w:ilvl="7" w:tplc="A04E4FD2">
      <w:numFmt w:val="bullet"/>
      <w:lvlText w:val="•"/>
      <w:lvlJc w:val="left"/>
      <w:pPr>
        <w:ind w:left="6476" w:hanging="360"/>
      </w:pPr>
      <w:rPr>
        <w:rFonts w:hint="default"/>
        <w:lang w:val="fr-FR" w:eastAsia="en-US" w:bidi="ar-SA"/>
      </w:rPr>
    </w:lvl>
    <w:lvl w:ilvl="8" w:tplc="9E30180A">
      <w:numFmt w:val="bullet"/>
      <w:lvlText w:val="•"/>
      <w:lvlJc w:val="left"/>
      <w:pPr>
        <w:ind w:left="7284" w:hanging="360"/>
      </w:pPr>
      <w:rPr>
        <w:rFonts w:hint="default"/>
        <w:lang w:val="fr-FR" w:eastAsia="en-US" w:bidi="ar-SA"/>
      </w:rPr>
    </w:lvl>
  </w:abstractNum>
  <w:abstractNum w:abstractNumId="15" w15:restartNumberingAfterBreak="0">
    <w:nsid w:val="31B06C4A"/>
    <w:multiLevelType w:val="hybridMultilevel"/>
    <w:tmpl w:val="4E2203C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0C0465D"/>
    <w:multiLevelType w:val="hybridMultilevel"/>
    <w:tmpl w:val="8286DFDC"/>
    <w:lvl w:ilvl="0" w:tplc="F55A3076">
      <w:numFmt w:val="bullet"/>
      <w:lvlText w:val="-"/>
      <w:lvlJc w:val="left"/>
      <w:pPr>
        <w:ind w:left="720" w:hanging="360"/>
      </w:pPr>
      <w:rPr>
        <w:rFonts w:ascii="Calibri" w:eastAsia="Aria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6422208"/>
    <w:multiLevelType w:val="hybridMultilevel"/>
    <w:tmpl w:val="7A6E50DA"/>
    <w:lvl w:ilvl="0" w:tplc="191A7FE6">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27788AC2">
      <w:numFmt w:val="bullet"/>
      <w:lvlText w:val="•"/>
      <w:lvlJc w:val="left"/>
      <w:pPr>
        <w:ind w:left="1628" w:hanging="360"/>
      </w:pPr>
      <w:rPr>
        <w:rFonts w:hint="default"/>
        <w:lang w:val="fr-FR" w:eastAsia="en-US" w:bidi="ar-SA"/>
      </w:rPr>
    </w:lvl>
    <w:lvl w:ilvl="2" w:tplc="CF9409BE">
      <w:numFmt w:val="bullet"/>
      <w:lvlText w:val="•"/>
      <w:lvlJc w:val="left"/>
      <w:pPr>
        <w:ind w:left="2436" w:hanging="360"/>
      </w:pPr>
      <w:rPr>
        <w:rFonts w:hint="default"/>
        <w:lang w:val="fr-FR" w:eastAsia="en-US" w:bidi="ar-SA"/>
      </w:rPr>
    </w:lvl>
    <w:lvl w:ilvl="3" w:tplc="FCA6297E">
      <w:numFmt w:val="bullet"/>
      <w:lvlText w:val="•"/>
      <w:lvlJc w:val="left"/>
      <w:pPr>
        <w:ind w:left="3244" w:hanging="360"/>
      </w:pPr>
      <w:rPr>
        <w:rFonts w:hint="default"/>
        <w:lang w:val="fr-FR" w:eastAsia="en-US" w:bidi="ar-SA"/>
      </w:rPr>
    </w:lvl>
    <w:lvl w:ilvl="4" w:tplc="4A981D14">
      <w:numFmt w:val="bullet"/>
      <w:lvlText w:val="•"/>
      <w:lvlJc w:val="left"/>
      <w:pPr>
        <w:ind w:left="4052" w:hanging="360"/>
      </w:pPr>
      <w:rPr>
        <w:rFonts w:hint="default"/>
        <w:lang w:val="fr-FR" w:eastAsia="en-US" w:bidi="ar-SA"/>
      </w:rPr>
    </w:lvl>
    <w:lvl w:ilvl="5" w:tplc="0CC8AFA6">
      <w:numFmt w:val="bullet"/>
      <w:lvlText w:val="•"/>
      <w:lvlJc w:val="left"/>
      <w:pPr>
        <w:ind w:left="4860" w:hanging="360"/>
      </w:pPr>
      <w:rPr>
        <w:rFonts w:hint="default"/>
        <w:lang w:val="fr-FR" w:eastAsia="en-US" w:bidi="ar-SA"/>
      </w:rPr>
    </w:lvl>
    <w:lvl w:ilvl="6" w:tplc="E07A5918">
      <w:numFmt w:val="bullet"/>
      <w:lvlText w:val="•"/>
      <w:lvlJc w:val="left"/>
      <w:pPr>
        <w:ind w:left="5668" w:hanging="360"/>
      </w:pPr>
      <w:rPr>
        <w:rFonts w:hint="default"/>
        <w:lang w:val="fr-FR" w:eastAsia="en-US" w:bidi="ar-SA"/>
      </w:rPr>
    </w:lvl>
    <w:lvl w:ilvl="7" w:tplc="6222229E">
      <w:numFmt w:val="bullet"/>
      <w:lvlText w:val="•"/>
      <w:lvlJc w:val="left"/>
      <w:pPr>
        <w:ind w:left="6476" w:hanging="360"/>
      </w:pPr>
      <w:rPr>
        <w:rFonts w:hint="default"/>
        <w:lang w:val="fr-FR" w:eastAsia="en-US" w:bidi="ar-SA"/>
      </w:rPr>
    </w:lvl>
    <w:lvl w:ilvl="8" w:tplc="783E5C3A">
      <w:numFmt w:val="bullet"/>
      <w:lvlText w:val="•"/>
      <w:lvlJc w:val="left"/>
      <w:pPr>
        <w:ind w:left="7284" w:hanging="360"/>
      </w:pPr>
      <w:rPr>
        <w:rFonts w:hint="default"/>
        <w:lang w:val="fr-FR" w:eastAsia="en-US" w:bidi="ar-SA"/>
      </w:rPr>
    </w:lvl>
  </w:abstractNum>
  <w:abstractNum w:abstractNumId="18" w15:restartNumberingAfterBreak="0">
    <w:nsid w:val="46770839"/>
    <w:multiLevelType w:val="hybridMultilevel"/>
    <w:tmpl w:val="6648718A"/>
    <w:lvl w:ilvl="0" w:tplc="45F2CECE">
      <w:start w:val="1"/>
      <w:numFmt w:val="decimal"/>
      <w:lvlText w:val="(%1)"/>
      <w:lvlJc w:val="left"/>
      <w:pPr>
        <w:ind w:left="820" w:hanging="360"/>
      </w:pPr>
      <w:rPr>
        <w:rFonts w:ascii="Arial" w:eastAsia="Arial" w:hAnsi="Arial" w:cs="Arial" w:hint="default"/>
        <w:b w:val="0"/>
        <w:bCs w:val="0"/>
        <w:i w:val="0"/>
        <w:iCs w:val="0"/>
        <w:spacing w:val="-1"/>
        <w:w w:val="91"/>
        <w:sz w:val="22"/>
        <w:szCs w:val="22"/>
        <w:lang w:val="fr-FR" w:eastAsia="en-US" w:bidi="ar-SA"/>
      </w:rPr>
    </w:lvl>
    <w:lvl w:ilvl="1" w:tplc="541638D0">
      <w:numFmt w:val="bullet"/>
      <w:lvlText w:val="•"/>
      <w:lvlJc w:val="left"/>
      <w:pPr>
        <w:ind w:left="1628" w:hanging="360"/>
      </w:pPr>
      <w:rPr>
        <w:rFonts w:hint="default"/>
        <w:lang w:val="fr-FR" w:eastAsia="en-US" w:bidi="ar-SA"/>
      </w:rPr>
    </w:lvl>
    <w:lvl w:ilvl="2" w:tplc="D0BEB692">
      <w:numFmt w:val="bullet"/>
      <w:lvlText w:val="•"/>
      <w:lvlJc w:val="left"/>
      <w:pPr>
        <w:ind w:left="2436" w:hanging="360"/>
      </w:pPr>
      <w:rPr>
        <w:rFonts w:hint="default"/>
        <w:lang w:val="fr-FR" w:eastAsia="en-US" w:bidi="ar-SA"/>
      </w:rPr>
    </w:lvl>
    <w:lvl w:ilvl="3" w:tplc="886C3696">
      <w:numFmt w:val="bullet"/>
      <w:lvlText w:val="•"/>
      <w:lvlJc w:val="left"/>
      <w:pPr>
        <w:ind w:left="3244" w:hanging="360"/>
      </w:pPr>
      <w:rPr>
        <w:rFonts w:hint="default"/>
        <w:lang w:val="fr-FR" w:eastAsia="en-US" w:bidi="ar-SA"/>
      </w:rPr>
    </w:lvl>
    <w:lvl w:ilvl="4" w:tplc="7F50A568">
      <w:numFmt w:val="bullet"/>
      <w:lvlText w:val="•"/>
      <w:lvlJc w:val="left"/>
      <w:pPr>
        <w:ind w:left="4052" w:hanging="360"/>
      </w:pPr>
      <w:rPr>
        <w:rFonts w:hint="default"/>
        <w:lang w:val="fr-FR" w:eastAsia="en-US" w:bidi="ar-SA"/>
      </w:rPr>
    </w:lvl>
    <w:lvl w:ilvl="5" w:tplc="F836CFCA">
      <w:numFmt w:val="bullet"/>
      <w:lvlText w:val="•"/>
      <w:lvlJc w:val="left"/>
      <w:pPr>
        <w:ind w:left="4860" w:hanging="360"/>
      </w:pPr>
      <w:rPr>
        <w:rFonts w:hint="default"/>
        <w:lang w:val="fr-FR" w:eastAsia="en-US" w:bidi="ar-SA"/>
      </w:rPr>
    </w:lvl>
    <w:lvl w:ilvl="6" w:tplc="FC98075A">
      <w:numFmt w:val="bullet"/>
      <w:lvlText w:val="•"/>
      <w:lvlJc w:val="left"/>
      <w:pPr>
        <w:ind w:left="5668" w:hanging="360"/>
      </w:pPr>
      <w:rPr>
        <w:rFonts w:hint="default"/>
        <w:lang w:val="fr-FR" w:eastAsia="en-US" w:bidi="ar-SA"/>
      </w:rPr>
    </w:lvl>
    <w:lvl w:ilvl="7" w:tplc="795E727E">
      <w:numFmt w:val="bullet"/>
      <w:lvlText w:val="•"/>
      <w:lvlJc w:val="left"/>
      <w:pPr>
        <w:ind w:left="6476" w:hanging="360"/>
      </w:pPr>
      <w:rPr>
        <w:rFonts w:hint="default"/>
        <w:lang w:val="fr-FR" w:eastAsia="en-US" w:bidi="ar-SA"/>
      </w:rPr>
    </w:lvl>
    <w:lvl w:ilvl="8" w:tplc="BE8A312C">
      <w:numFmt w:val="bullet"/>
      <w:lvlText w:val="•"/>
      <w:lvlJc w:val="left"/>
      <w:pPr>
        <w:ind w:left="7284" w:hanging="360"/>
      </w:pPr>
      <w:rPr>
        <w:rFonts w:hint="default"/>
        <w:lang w:val="fr-FR" w:eastAsia="en-US" w:bidi="ar-SA"/>
      </w:rPr>
    </w:lvl>
  </w:abstractNum>
  <w:abstractNum w:abstractNumId="19" w15:restartNumberingAfterBreak="0">
    <w:nsid w:val="46A91284"/>
    <w:multiLevelType w:val="hybridMultilevel"/>
    <w:tmpl w:val="FA540116"/>
    <w:lvl w:ilvl="0" w:tplc="1530218C">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682A7482">
      <w:numFmt w:val="bullet"/>
      <w:lvlText w:val="•"/>
      <w:lvlJc w:val="left"/>
      <w:pPr>
        <w:ind w:left="1628" w:hanging="360"/>
      </w:pPr>
      <w:rPr>
        <w:rFonts w:hint="default"/>
        <w:lang w:val="fr-FR" w:eastAsia="en-US" w:bidi="ar-SA"/>
      </w:rPr>
    </w:lvl>
    <w:lvl w:ilvl="2" w:tplc="FEB6579A">
      <w:numFmt w:val="bullet"/>
      <w:lvlText w:val="•"/>
      <w:lvlJc w:val="left"/>
      <w:pPr>
        <w:ind w:left="2436" w:hanging="360"/>
      </w:pPr>
      <w:rPr>
        <w:rFonts w:hint="default"/>
        <w:lang w:val="fr-FR" w:eastAsia="en-US" w:bidi="ar-SA"/>
      </w:rPr>
    </w:lvl>
    <w:lvl w:ilvl="3" w:tplc="08F0490A">
      <w:numFmt w:val="bullet"/>
      <w:lvlText w:val="•"/>
      <w:lvlJc w:val="left"/>
      <w:pPr>
        <w:ind w:left="3244" w:hanging="360"/>
      </w:pPr>
      <w:rPr>
        <w:rFonts w:hint="default"/>
        <w:lang w:val="fr-FR" w:eastAsia="en-US" w:bidi="ar-SA"/>
      </w:rPr>
    </w:lvl>
    <w:lvl w:ilvl="4" w:tplc="7272DB3A">
      <w:numFmt w:val="bullet"/>
      <w:lvlText w:val="•"/>
      <w:lvlJc w:val="left"/>
      <w:pPr>
        <w:ind w:left="4052" w:hanging="360"/>
      </w:pPr>
      <w:rPr>
        <w:rFonts w:hint="default"/>
        <w:lang w:val="fr-FR" w:eastAsia="en-US" w:bidi="ar-SA"/>
      </w:rPr>
    </w:lvl>
    <w:lvl w:ilvl="5" w:tplc="BE6CDD1C">
      <w:numFmt w:val="bullet"/>
      <w:lvlText w:val="•"/>
      <w:lvlJc w:val="left"/>
      <w:pPr>
        <w:ind w:left="4860" w:hanging="360"/>
      </w:pPr>
      <w:rPr>
        <w:rFonts w:hint="default"/>
        <w:lang w:val="fr-FR" w:eastAsia="en-US" w:bidi="ar-SA"/>
      </w:rPr>
    </w:lvl>
    <w:lvl w:ilvl="6" w:tplc="01C08962">
      <w:numFmt w:val="bullet"/>
      <w:lvlText w:val="•"/>
      <w:lvlJc w:val="left"/>
      <w:pPr>
        <w:ind w:left="5668" w:hanging="360"/>
      </w:pPr>
      <w:rPr>
        <w:rFonts w:hint="default"/>
        <w:lang w:val="fr-FR" w:eastAsia="en-US" w:bidi="ar-SA"/>
      </w:rPr>
    </w:lvl>
    <w:lvl w:ilvl="7" w:tplc="046043A6">
      <w:numFmt w:val="bullet"/>
      <w:lvlText w:val="•"/>
      <w:lvlJc w:val="left"/>
      <w:pPr>
        <w:ind w:left="6476" w:hanging="360"/>
      </w:pPr>
      <w:rPr>
        <w:rFonts w:hint="default"/>
        <w:lang w:val="fr-FR" w:eastAsia="en-US" w:bidi="ar-SA"/>
      </w:rPr>
    </w:lvl>
    <w:lvl w:ilvl="8" w:tplc="C0249D44">
      <w:numFmt w:val="bullet"/>
      <w:lvlText w:val="•"/>
      <w:lvlJc w:val="left"/>
      <w:pPr>
        <w:ind w:left="7284" w:hanging="360"/>
      </w:pPr>
      <w:rPr>
        <w:rFonts w:hint="default"/>
        <w:lang w:val="fr-FR" w:eastAsia="en-US" w:bidi="ar-SA"/>
      </w:rPr>
    </w:lvl>
  </w:abstractNum>
  <w:abstractNum w:abstractNumId="20" w15:restartNumberingAfterBreak="0">
    <w:nsid w:val="4A4B6A05"/>
    <w:multiLevelType w:val="hybridMultilevel"/>
    <w:tmpl w:val="133AF3C0"/>
    <w:lvl w:ilvl="0" w:tplc="8EE2F624">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80D84566">
      <w:numFmt w:val="bullet"/>
      <w:lvlText w:val="•"/>
      <w:lvlJc w:val="left"/>
      <w:pPr>
        <w:ind w:left="1628" w:hanging="360"/>
      </w:pPr>
      <w:rPr>
        <w:rFonts w:hint="default"/>
        <w:lang w:val="fr-FR" w:eastAsia="en-US" w:bidi="ar-SA"/>
      </w:rPr>
    </w:lvl>
    <w:lvl w:ilvl="2" w:tplc="DB640A48">
      <w:numFmt w:val="bullet"/>
      <w:lvlText w:val="•"/>
      <w:lvlJc w:val="left"/>
      <w:pPr>
        <w:ind w:left="2436" w:hanging="360"/>
      </w:pPr>
      <w:rPr>
        <w:rFonts w:hint="default"/>
        <w:lang w:val="fr-FR" w:eastAsia="en-US" w:bidi="ar-SA"/>
      </w:rPr>
    </w:lvl>
    <w:lvl w:ilvl="3" w:tplc="DCDEE46E">
      <w:numFmt w:val="bullet"/>
      <w:lvlText w:val="•"/>
      <w:lvlJc w:val="left"/>
      <w:pPr>
        <w:ind w:left="3244" w:hanging="360"/>
      </w:pPr>
      <w:rPr>
        <w:rFonts w:hint="default"/>
        <w:lang w:val="fr-FR" w:eastAsia="en-US" w:bidi="ar-SA"/>
      </w:rPr>
    </w:lvl>
    <w:lvl w:ilvl="4" w:tplc="DBE2EDA8">
      <w:numFmt w:val="bullet"/>
      <w:lvlText w:val="•"/>
      <w:lvlJc w:val="left"/>
      <w:pPr>
        <w:ind w:left="4052" w:hanging="360"/>
      </w:pPr>
      <w:rPr>
        <w:rFonts w:hint="default"/>
        <w:lang w:val="fr-FR" w:eastAsia="en-US" w:bidi="ar-SA"/>
      </w:rPr>
    </w:lvl>
    <w:lvl w:ilvl="5" w:tplc="E5F80408">
      <w:numFmt w:val="bullet"/>
      <w:lvlText w:val="•"/>
      <w:lvlJc w:val="left"/>
      <w:pPr>
        <w:ind w:left="4860" w:hanging="360"/>
      </w:pPr>
      <w:rPr>
        <w:rFonts w:hint="default"/>
        <w:lang w:val="fr-FR" w:eastAsia="en-US" w:bidi="ar-SA"/>
      </w:rPr>
    </w:lvl>
    <w:lvl w:ilvl="6" w:tplc="012AFCA0">
      <w:numFmt w:val="bullet"/>
      <w:lvlText w:val="•"/>
      <w:lvlJc w:val="left"/>
      <w:pPr>
        <w:ind w:left="5668" w:hanging="360"/>
      </w:pPr>
      <w:rPr>
        <w:rFonts w:hint="default"/>
        <w:lang w:val="fr-FR" w:eastAsia="en-US" w:bidi="ar-SA"/>
      </w:rPr>
    </w:lvl>
    <w:lvl w:ilvl="7" w:tplc="314468A8">
      <w:numFmt w:val="bullet"/>
      <w:lvlText w:val="•"/>
      <w:lvlJc w:val="left"/>
      <w:pPr>
        <w:ind w:left="6476" w:hanging="360"/>
      </w:pPr>
      <w:rPr>
        <w:rFonts w:hint="default"/>
        <w:lang w:val="fr-FR" w:eastAsia="en-US" w:bidi="ar-SA"/>
      </w:rPr>
    </w:lvl>
    <w:lvl w:ilvl="8" w:tplc="7326191E">
      <w:numFmt w:val="bullet"/>
      <w:lvlText w:val="•"/>
      <w:lvlJc w:val="left"/>
      <w:pPr>
        <w:ind w:left="7284" w:hanging="360"/>
      </w:pPr>
      <w:rPr>
        <w:rFonts w:hint="default"/>
        <w:lang w:val="fr-FR" w:eastAsia="en-US" w:bidi="ar-SA"/>
      </w:rPr>
    </w:lvl>
  </w:abstractNum>
  <w:abstractNum w:abstractNumId="21" w15:restartNumberingAfterBreak="0">
    <w:nsid w:val="4A5D2791"/>
    <w:multiLevelType w:val="hybridMultilevel"/>
    <w:tmpl w:val="5FB627B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BE60212"/>
    <w:multiLevelType w:val="hybridMultilevel"/>
    <w:tmpl w:val="44E096CA"/>
    <w:lvl w:ilvl="0" w:tplc="31B08826">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908E01EA">
      <w:numFmt w:val="bullet"/>
      <w:lvlText w:val="•"/>
      <w:lvlJc w:val="left"/>
      <w:pPr>
        <w:ind w:left="1628" w:hanging="360"/>
      </w:pPr>
      <w:rPr>
        <w:rFonts w:hint="default"/>
        <w:lang w:val="fr-FR" w:eastAsia="en-US" w:bidi="ar-SA"/>
      </w:rPr>
    </w:lvl>
    <w:lvl w:ilvl="2" w:tplc="C6C29AAA">
      <w:numFmt w:val="bullet"/>
      <w:lvlText w:val="•"/>
      <w:lvlJc w:val="left"/>
      <w:pPr>
        <w:ind w:left="2436" w:hanging="360"/>
      </w:pPr>
      <w:rPr>
        <w:rFonts w:hint="default"/>
        <w:lang w:val="fr-FR" w:eastAsia="en-US" w:bidi="ar-SA"/>
      </w:rPr>
    </w:lvl>
    <w:lvl w:ilvl="3" w:tplc="EA823D36">
      <w:numFmt w:val="bullet"/>
      <w:lvlText w:val="•"/>
      <w:lvlJc w:val="left"/>
      <w:pPr>
        <w:ind w:left="3244" w:hanging="360"/>
      </w:pPr>
      <w:rPr>
        <w:rFonts w:hint="default"/>
        <w:lang w:val="fr-FR" w:eastAsia="en-US" w:bidi="ar-SA"/>
      </w:rPr>
    </w:lvl>
    <w:lvl w:ilvl="4" w:tplc="9B9664AE">
      <w:numFmt w:val="bullet"/>
      <w:lvlText w:val="•"/>
      <w:lvlJc w:val="left"/>
      <w:pPr>
        <w:ind w:left="4052" w:hanging="360"/>
      </w:pPr>
      <w:rPr>
        <w:rFonts w:hint="default"/>
        <w:lang w:val="fr-FR" w:eastAsia="en-US" w:bidi="ar-SA"/>
      </w:rPr>
    </w:lvl>
    <w:lvl w:ilvl="5" w:tplc="DFD0DE84">
      <w:numFmt w:val="bullet"/>
      <w:lvlText w:val="•"/>
      <w:lvlJc w:val="left"/>
      <w:pPr>
        <w:ind w:left="4860" w:hanging="360"/>
      </w:pPr>
      <w:rPr>
        <w:rFonts w:hint="default"/>
        <w:lang w:val="fr-FR" w:eastAsia="en-US" w:bidi="ar-SA"/>
      </w:rPr>
    </w:lvl>
    <w:lvl w:ilvl="6" w:tplc="134231F8">
      <w:numFmt w:val="bullet"/>
      <w:lvlText w:val="•"/>
      <w:lvlJc w:val="left"/>
      <w:pPr>
        <w:ind w:left="5668" w:hanging="360"/>
      </w:pPr>
      <w:rPr>
        <w:rFonts w:hint="default"/>
        <w:lang w:val="fr-FR" w:eastAsia="en-US" w:bidi="ar-SA"/>
      </w:rPr>
    </w:lvl>
    <w:lvl w:ilvl="7" w:tplc="62967B28">
      <w:numFmt w:val="bullet"/>
      <w:lvlText w:val="•"/>
      <w:lvlJc w:val="left"/>
      <w:pPr>
        <w:ind w:left="6476" w:hanging="360"/>
      </w:pPr>
      <w:rPr>
        <w:rFonts w:hint="default"/>
        <w:lang w:val="fr-FR" w:eastAsia="en-US" w:bidi="ar-SA"/>
      </w:rPr>
    </w:lvl>
    <w:lvl w:ilvl="8" w:tplc="3F2E4BCC">
      <w:numFmt w:val="bullet"/>
      <w:lvlText w:val="•"/>
      <w:lvlJc w:val="left"/>
      <w:pPr>
        <w:ind w:left="7284" w:hanging="360"/>
      </w:pPr>
      <w:rPr>
        <w:rFonts w:hint="default"/>
        <w:lang w:val="fr-FR" w:eastAsia="en-US" w:bidi="ar-SA"/>
      </w:rPr>
    </w:lvl>
  </w:abstractNum>
  <w:abstractNum w:abstractNumId="23" w15:restartNumberingAfterBreak="0">
    <w:nsid w:val="53C56962"/>
    <w:multiLevelType w:val="hybridMultilevel"/>
    <w:tmpl w:val="305A5F1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4" w15:restartNumberingAfterBreak="0">
    <w:nsid w:val="54E4683B"/>
    <w:multiLevelType w:val="hybridMultilevel"/>
    <w:tmpl w:val="CF64D634"/>
    <w:lvl w:ilvl="0" w:tplc="2ADCC204">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CC103320">
      <w:numFmt w:val="bullet"/>
      <w:lvlText w:val="•"/>
      <w:lvlJc w:val="left"/>
      <w:pPr>
        <w:ind w:left="1628" w:hanging="360"/>
      </w:pPr>
      <w:rPr>
        <w:rFonts w:hint="default"/>
        <w:lang w:val="fr-FR" w:eastAsia="en-US" w:bidi="ar-SA"/>
      </w:rPr>
    </w:lvl>
    <w:lvl w:ilvl="2" w:tplc="D2B4DB6A">
      <w:numFmt w:val="bullet"/>
      <w:lvlText w:val="•"/>
      <w:lvlJc w:val="left"/>
      <w:pPr>
        <w:ind w:left="2436" w:hanging="360"/>
      </w:pPr>
      <w:rPr>
        <w:rFonts w:hint="default"/>
        <w:lang w:val="fr-FR" w:eastAsia="en-US" w:bidi="ar-SA"/>
      </w:rPr>
    </w:lvl>
    <w:lvl w:ilvl="3" w:tplc="213A3104">
      <w:numFmt w:val="bullet"/>
      <w:lvlText w:val="•"/>
      <w:lvlJc w:val="left"/>
      <w:pPr>
        <w:ind w:left="3244" w:hanging="360"/>
      </w:pPr>
      <w:rPr>
        <w:rFonts w:hint="default"/>
        <w:lang w:val="fr-FR" w:eastAsia="en-US" w:bidi="ar-SA"/>
      </w:rPr>
    </w:lvl>
    <w:lvl w:ilvl="4" w:tplc="D17E540C">
      <w:numFmt w:val="bullet"/>
      <w:lvlText w:val="•"/>
      <w:lvlJc w:val="left"/>
      <w:pPr>
        <w:ind w:left="4052" w:hanging="360"/>
      </w:pPr>
      <w:rPr>
        <w:rFonts w:hint="default"/>
        <w:lang w:val="fr-FR" w:eastAsia="en-US" w:bidi="ar-SA"/>
      </w:rPr>
    </w:lvl>
    <w:lvl w:ilvl="5" w:tplc="B57284E8">
      <w:numFmt w:val="bullet"/>
      <w:lvlText w:val="•"/>
      <w:lvlJc w:val="left"/>
      <w:pPr>
        <w:ind w:left="4860" w:hanging="360"/>
      </w:pPr>
      <w:rPr>
        <w:rFonts w:hint="default"/>
        <w:lang w:val="fr-FR" w:eastAsia="en-US" w:bidi="ar-SA"/>
      </w:rPr>
    </w:lvl>
    <w:lvl w:ilvl="6" w:tplc="1FC41E6E">
      <w:numFmt w:val="bullet"/>
      <w:lvlText w:val="•"/>
      <w:lvlJc w:val="left"/>
      <w:pPr>
        <w:ind w:left="5668" w:hanging="360"/>
      </w:pPr>
      <w:rPr>
        <w:rFonts w:hint="default"/>
        <w:lang w:val="fr-FR" w:eastAsia="en-US" w:bidi="ar-SA"/>
      </w:rPr>
    </w:lvl>
    <w:lvl w:ilvl="7" w:tplc="C9742106">
      <w:numFmt w:val="bullet"/>
      <w:lvlText w:val="•"/>
      <w:lvlJc w:val="left"/>
      <w:pPr>
        <w:ind w:left="6476" w:hanging="360"/>
      </w:pPr>
      <w:rPr>
        <w:rFonts w:hint="default"/>
        <w:lang w:val="fr-FR" w:eastAsia="en-US" w:bidi="ar-SA"/>
      </w:rPr>
    </w:lvl>
    <w:lvl w:ilvl="8" w:tplc="2ED62730">
      <w:numFmt w:val="bullet"/>
      <w:lvlText w:val="•"/>
      <w:lvlJc w:val="left"/>
      <w:pPr>
        <w:ind w:left="7284" w:hanging="360"/>
      </w:pPr>
      <w:rPr>
        <w:rFonts w:hint="default"/>
        <w:lang w:val="fr-FR" w:eastAsia="en-US" w:bidi="ar-SA"/>
      </w:rPr>
    </w:lvl>
  </w:abstractNum>
  <w:abstractNum w:abstractNumId="25" w15:restartNumberingAfterBreak="0">
    <w:nsid w:val="5AF82236"/>
    <w:multiLevelType w:val="hybridMultilevel"/>
    <w:tmpl w:val="3806BD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C045B3C"/>
    <w:multiLevelType w:val="hybridMultilevel"/>
    <w:tmpl w:val="B802BEAE"/>
    <w:lvl w:ilvl="0" w:tplc="B8F40B50">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596E2966">
      <w:numFmt w:val="bullet"/>
      <w:lvlText w:val="•"/>
      <w:lvlJc w:val="left"/>
      <w:pPr>
        <w:ind w:left="1628" w:hanging="360"/>
      </w:pPr>
      <w:rPr>
        <w:rFonts w:hint="default"/>
        <w:lang w:val="fr-FR" w:eastAsia="en-US" w:bidi="ar-SA"/>
      </w:rPr>
    </w:lvl>
    <w:lvl w:ilvl="2" w:tplc="AFF2491E">
      <w:numFmt w:val="bullet"/>
      <w:lvlText w:val="•"/>
      <w:lvlJc w:val="left"/>
      <w:pPr>
        <w:ind w:left="2436" w:hanging="360"/>
      </w:pPr>
      <w:rPr>
        <w:rFonts w:hint="default"/>
        <w:lang w:val="fr-FR" w:eastAsia="en-US" w:bidi="ar-SA"/>
      </w:rPr>
    </w:lvl>
    <w:lvl w:ilvl="3" w:tplc="90B4C8C8">
      <w:numFmt w:val="bullet"/>
      <w:lvlText w:val="•"/>
      <w:lvlJc w:val="left"/>
      <w:pPr>
        <w:ind w:left="3244" w:hanging="360"/>
      </w:pPr>
      <w:rPr>
        <w:rFonts w:hint="default"/>
        <w:lang w:val="fr-FR" w:eastAsia="en-US" w:bidi="ar-SA"/>
      </w:rPr>
    </w:lvl>
    <w:lvl w:ilvl="4" w:tplc="3FB69DB8">
      <w:numFmt w:val="bullet"/>
      <w:lvlText w:val="•"/>
      <w:lvlJc w:val="left"/>
      <w:pPr>
        <w:ind w:left="4052" w:hanging="360"/>
      </w:pPr>
      <w:rPr>
        <w:rFonts w:hint="default"/>
        <w:lang w:val="fr-FR" w:eastAsia="en-US" w:bidi="ar-SA"/>
      </w:rPr>
    </w:lvl>
    <w:lvl w:ilvl="5" w:tplc="40161276">
      <w:numFmt w:val="bullet"/>
      <w:lvlText w:val="•"/>
      <w:lvlJc w:val="left"/>
      <w:pPr>
        <w:ind w:left="4860" w:hanging="360"/>
      </w:pPr>
      <w:rPr>
        <w:rFonts w:hint="default"/>
        <w:lang w:val="fr-FR" w:eastAsia="en-US" w:bidi="ar-SA"/>
      </w:rPr>
    </w:lvl>
    <w:lvl w:ilvl="6" w:tplc="A66E33F4">
      <w:numFmt w:val="bullet"/>
      <w:lvlText w:val="•"/>
      <w:lvlJc w:val="left"/>
      <w:pPr>
        <w:ind w:left="5668" w:hanging="360"/>
      </w:pPr>
      <w:rPr>
        <w:rFonts w:hint="default"/>
        <w:lang w:val="fr-FR" w:eastAsia="en-US" w:bidi="ar-SA"/>
      </w:rPr>
    </w:lvl>
    <w:lvl w:ilvl="7" w:tplc="68F4F39A">
      <w:numFmt w:val="bullet"/>
      <w:lvlText w:val="•"/>
      <w:lvlJc w:val="left"/>
      <w:pPr>
        <w:ind w:left="6476" w:hanging="360"/>
      </w:pPr>
      <w:rPr>
        <w:rFonts w:hint="default"/>
        <w:lang w:val="fr-FR" w:eastAsia="en-US" w:bidi="ar-SA"/>
      </w:rPr>
    </w:lvl>
    <w:lvl w:ilvl="8" w:tplc="ED461E20">
      <w:numFmt w:val="bullet"/>
      <w:lvlText w:val="•"/>
      <w:lvlJc w:val="left"/>
      <w:pPr>
        <w:ind w:left="7284" w:hanging="360"/>
      </w:pPr>
      <w:rPr>
        <w:rFonts w:hint="default"/>
        <w:lang w:val="fr-FR" w:eastAsia="en-US" w:bidi="ar-SA"/>
      </w:rPr>
    </w:lvl>
  </w:abstractNum>
  <w:abstractNum w:abstractNumId="27" w15:restartNumberingAfterBreak="0">
    <w:nsid w:val="5FE227A1"/>
    <w:multiLevelType w:val="hybridMultilevel"/>
    <w:tmpl w:val="1DB05FFC"/>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8" w15:restartNumberingAfterBreak="0">
    <w:nsid w:val="6BE92985"/>
    <w:multiLevelType w:val="hybridMultilevel"/>
    <w:tmpl w:val="00D2E72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07F7751"/>
    <w:multiLevelType w:val="hybridMultilevel"/>
    <w:tmpl w:val="66A64D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4035F02"/>
    <w:multiLevelType w:val="hybridMultilevel"/>
    <w:tmpl w:val="5914E074"/>
    <w:lvl w:ilvl="0" w:tplc="63CE66BA">
      <w:start w:val="1"/>
      <w:numFmt w:val="decimal"/>
      <w:lvlText w:val="%1."/>
      <w:lvlJc w:val="left"/>
      <w:pPr>
        <w:ind w:left="720" w:hanging="360"/>
      </w:pPr>
      <w:rPr>
        <w:rFonts w:ascii="Calibri" w:hAnsi="Calibri" w:hint="default"/>
        <w:b w:val="0"/>
        <w:i w:val="0"/>
        <w:caps w:val="0"/>
        <w:strike w:val="0"/>
        <w:dstrike w:val="0"/>
        <w:vanish w:val="0"/>
        <w:spacing w:val="0"/>
        <w:w w:val="100"/>
        <w:kern w:val="0"/>
        <w:position w:val="0"/>
        <w:sz w:val="21"/>
        <w:u w:val="none"/>
        <w:vertAlign w:val="baseline"/>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735760C"/>
    <w:multiLevelType w:val="hybridMultilevel"/>
    <w:tmpl w:val="00DAE6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8CE4CC5"/>
    <w:multiLevelType w:val="hybridMultilevel"/>
    <w:tmpl w:val="E03CFE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9C121D4"/>
    <w:multiLevelType w:val="hybridMultilevel"/>
    <w:tmpl w:val="DC3CA0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9E93E0D"/>
    <w:multiLevelType w:val="hybridMultilevel"/>
    <w:tmpl w:val="5268E754"/>
    <w:lvl w:ilvl="0" w:tplc="153C1876">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C2AA6BA0">
      <w:numFmt w:val="bullet"/>
      <w:lvlText w:val="•"/>
      <w:lvlJc w:val="left"/>
      <w:pPr>
        <w:ind w:left="1628" w:hanging="360"/>
      </w:pPr>
      <w:rPr>
        <w:rFonts w:hint="default"/>
        <w:lang w:val="fr-FR" w:eastAsia="en-US" w:bidi="ar-SA"/>
      </w:rPr>
    </w:lvl>
    <w:lvl w:ilvl="2" w:tplc="7554A4DE">
      <w:numFmt w:val="bullet"/>
      <w:lvlText w:val="•"/>
      <w:lvlJc w:val="left"/>
      <w:pPr>
        <w:ind w:left="2436" w:hanging="360"/>
      </w:pPr>
      <w:rPr>
        <w:rFonts w:hint="default"/>
        <w:lang w:val="fr-FR" w:eastAsia="en-US" w:bidi="ar-SA"/>
      </w:rPr>
    </w:lvl>
    <w:lvl w:ilvl="3" w:tplc="813A1A3E">
      <w:numFmt w:val="bullet"/>
      <w:lvlText w:val="•"/>
      <w:lvlJc w:val="left"/>
      <w:pPr>
        <w:ind w:left="3244" w:hanging="360"/>
      </w:pPr>
      <w:rPr>
        <w:rFonts w:hint="default"/>
        <w:lang w:val="fr-FR" w:eastAsia="en-US" w:bidi="ar-SA"/>
      </w:rPr>
    </w:lvl>
    <w:lvl w:ilvl="4" w:tplc="090C7308">
      <w:numFmt w:val="bullet"/>
      <w:lvlText w:val="•"/>
      <w:lvlJc w:val="left"/>
      <w:pPr>
        <w:ind w:left="4052" w:hanging="360"/>
      </w:pPr>
      <w:rPr>
        <w:rFonts w:hint="default"/>
        <w:lang w:val="fr-FR" w:eastAsia="en-US" w:bidi="ar-SA"/>
      </w:rPr>
    </w:lvl>
    <w:lvl w:ilvl="5" w:tplc="9B7EA5B4">
      <w:numFmt w:val="bullet"/>
      <w:lvlText w:val="•"/>
      <w:lvlJc w:val="left"/>
      <w:pPr>
        <w:ind w:left="4860" w:hanging="360"/>
      </w:pPr>
      <w:rPr>
        <w:rFonts w:hint="default"/>
        <w:lang w:val="fr-FR" w:eastAsia="en-US" w:bidi="ar-SA"/>
      </w:rPr>
    </w:lvl>
    <w:lvl w:ilvl="6" w:tplc="736A0946">
      <w:numFmt w:val="bullet"/>
      <w:lvlText w:val="•"/>
      <w:lvlJc w:val="left"/>
      <w:pPr>
        <w:ind w:left="5668" w:hanging="360"/>
      </w:pPr>
      <w:rPr>
        <w:rFonts w:hint="default"/>
        <w:lang w:val="fr-FR" w:eastAsia="en-US" w:bidi="ar-SA"/>
      </w:rPr>
    </w:lvl>
    <w:lvl w:ilvl="7" w:tplc="38B00F88">
      <w:numFmt w:val="bullet"/>
      <w:lvlText w:val="•"/>
      <w:lvlJc w:val="left"/>
      <w:pPr>
        <w:ind w:left="6476" w:hanging="360"/>
      </w:pPr>
      <w:rPr>
        <w:rFonts w:hint="default"/>
        <w:lang w:val="fr-FR" w:eastAsia="en-US" w:bidi="ar-SA"/>
      </w:rPr>
    </w:lvl>
    <w:lvl w:ilvl="8" w:tplc="395E4B6A">
      <w:numFmt w:val="bullet"/>
      <w:lvlText w:val="•"/>
      <w:lvlJc w:val="left"/>
      <w:pPr>
        <w:ind w:left="7284" w:hanging="360"/>
      </w:pPr>
      <w:rPr>
        <w:rFonts w:hint="default"/>
        <w:lang w:val="fr-FR" w:eastAsia="en-US" w:bidi="ar-SA"/>
      </w:rPr>
    </w:lvl>
  </w:abstractNum>
  <w:abstractNum w:abstractNumId="35" w15:restartNumberingAfterBreak="0">
    <w:nsid w:val="7B506E48"/>
    <w:multiLevelType w:val="hybridMultilevel"/>
    <w:tmpl w:val="2E10646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C122470"/>
    <w:multiLevelType w:val="hybridMultilevel"/>
    <w:tmpl w:val="20B422AA"/>
    <w:lvl w:ilvl="0" w:tplc="430A3382">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59626AFE">
      <w:numFmt w:val="bullet"/>
      <w:lvlText w:val="•"/>
      <w:lvlJc w:val="left"/>
      <w:pPr>
        <w:ind w:left="1628" w:hanging="360"/>
      </w:pPr>
      <w:rPr>
        <w:rFonts w:hint="default"/>
        <w:lang w:val="fr-FR" w:eastAsia="en-US" w:bidi="ar-SA"/>
      </w:rPr>
    </w:lvl>
    <w:lvl w:ilvl="2" w:tplc="08D89C10">
      <w:numFmt w:val="bullet"/>
      <w:lvlText w:val="•"/>
      <w:lvlJc w:val="left"/>
      <w:pPr>
        <w:ind w:left="2436" w:hanging="360"/>
      </w:pPr>
      <w:rPr>
        <w:rFonts w:hint="default"/>
        <w:lang w:val="fr-FR" w:eastAsia="en-US" w:bidi="ar-SA"/>
      </w:rPr>
    </w:lvl>
    <w:lvl w:ilvl="3" w:tplc="80C22652">
      <w:numFmt w:val="bullet"/>
      <w:lvlText w:val="•"/>
      <w:lvlJc w:val="left"/>
      <w:pPr>
        <w:ind w:left="3244" w:hanging="360"/>
      </w:pPr>
      <w:rPr>
        <w:rFonts w:hint="default"/>
        <w:lang w:val="fr-FR" w:eastAsia="en-US" w:bidi="ar-SA"/>
      </w:rPr>
    </w:lvl>
    <w:lvl w:ilvl="4" w:tplc="80AE32FC">
      <w:numFmt w:val="bullet"/>
      <w:lvlText w:val="•"/>
      <w:lvlJc w:val="left"/>
      <w:pPr>
        <w:ind w:left="4052" w:hanging="360"/>
      </w:pPr>
      <w:rPr>
        <w:rFonts w:hint="default"/>
        <w:lang w:val="fr-FR" w:eastAsia="en-US" w:bidi="ar-SA"/>
      </w:rPr>
    </w:lvl>
    <w:lvl w:ilvl="5" w:tplc="60425EB4">
      <w:numFmt w:val="bullet"/>
      <w:lvlText w:val="•"/>
      <w:lvlJc w:val="left"/>
      <w:pPr>
        <w:ind w:left="4860" w:hanging="360"/>
      </w:pPr>
      <w:rPr>
        <w:rFonts w:hint="default"/>
        <w:lang w:val="fr-FR" w:eastAsia="en-US" w:bidi="ar-SA"/>
      </w:rPr>
    </w:lvl>
    <w:lvl w:ilvl="6" w:tplc="A826677C">
      <w:numFmt w:val="bullet"/>
      <w:lvlText w:val="•"/>
      <w:lvlJc w:val="left"/>
      <w:pPr>
        <w:ind w:left="5668" w:hanging="360"/>
      </w:pPr>
      <w:rPr>
        <w:rFonts w:hint="default"/>
        <w:lang w:val="fr-FR" w:eastAsia="en-US" w:bidi="ar-SA"/>
      </w:rPr>
    </w:lvl>
    <w:lvl w:ilvl="7" w:tplc="676E5A0A">
      <w:numFmt w:val="bullet"/>
      <w:lvlText w:val="•"/>
      <w:lvlJc w:val="left"/>
      <w:pPr>
        <w:ind w:left="6476" w:hanging="360"/>
      </w:pPr>
      <w:rPr>
        <w:rFonts w:hint="default"/>
        <w:lang w:val="fr-FR" w:eastAsia="en-US" w:bidi="ar-SA"/>
      </w:rPr>
    </w:lvl>
    <w:lvl w:ilvl="8" w:tplc="C0ECBA7A">
      <w:numFmt w:val="bullet"/>
      <w:lvlText w:val="•"/>
      <w:lvlJc w:val="left"/>
      <w:pPr>
        <w:ind w:left="7284" w:hanging="360"/>
      </w:pPr>
      <w:rPr>
        <w:rFonts w:hint="default"/>
        <w:lang w:val="fr-FR" w:eastAsia="en-US" w:bidi="ar-SA"/>
      </w:rPr>
    </w:lvl>
  </w:abstractNum>
  <w:abstractNum w:abstractNumId="37" w15:restartNumberingAfterBreak="0">
    <w:nsid w:val="7D713584"/>
    <w:multiLevelType w:val="hybridMultilevel"/>
    <w:tmpl w:val="A45ABCCA"/>
    <w:lvl w:ilvl="0" w:tplc="2312EA12">
      <w:start w:val="1"/>
      <w:numFmt w:val="decimal"/>
      <w:lvlText w:val="(%1)"/>
      <w:lvlJc w:val="left"/>
      <w:pPr>
        <w:ind w:left="820" w:hanging="360"/>
      </w:pPr>
      <w:rPr>
        <w:rFonts w:ascii="Arial" w:eastAsia="Arial" w:hAnsi="Arial" w:cs="Arial" w:hint="default"/>
        <w:b w:val="0"/>
        <w:bCs w:val="0"/>
        <w:i w:val="0"/>
        <w:iCs w:val="0"/>
        <w:spacing w:val="0"/>
        <w:w w:val="91"/>
        <w:sz w:val="22"/>
        <w:szCs w:val="22"/>
        <w:lang w:val="fr-FR" w:eastAsia="en-US" w:bidi="ar-SA"/>
      </w:rPr>
    </w:lvl>
    <w:lvl w:ilvl="1" w:tplc="51DA7CFC">
      <w:numFmt w:val="bullet"/>
      <w:lvlText w:val="•"/>
      <w:lvlJc w:val="left"/>
      <w:pPr>
        <w:ind w:left="1628" w:hanging="360"/>
      </w:pPr>
      <w:rPr>
        <w:rFonts w:hint="default"/>
        <w:lang w:val="fr-FR" w:eastAsia="en-US" w:bidi="ar-SA"/>
      </w:rPr>
    </w:lvl>
    <w:lvl w:ilvl="2" w:tplc="74044690">
      <w:numFmt w:val="bullet"/>
      <w:lvlText w:val="•"/>
      <w:lvlJc w:val="left"/>
      <w:pPr>
        <w:ind w:left="2436" w:hanging="360"/>
      </w:pPr>
      <w:rPr>
        <w:rFonts w:hint="default"/>
        <w:lang w:val="fr-FR" w:eastAsia="en-US" w:bidi="ar-SA"/>
      </w:rPr>
    </w:lvl>
    <w:lvl w:ilvl="3" w:tplc="70C6D6AA">
      <w:numFmt w:val="bullet"/>
      <w:lvlText w:val="•"/>
      <w:lvlJc w:val="left"/>
      <w:pPr>
        <w:ind w:left="3244" w:hanging="360"/>
      </w:pPr>
      <w:rPr>
        <w:rFonts w:hint="default"/>
        <w:lang w:val="fr-FR" w:eastAsia="en-US" w:bidi="ar-SA"/>
      </w:rPr>
    </w:lvl>
    <w:lvl w:ilvl="4" w:tplc="E9A60500">
      <w:numFmt w:val="bullet"/>
      <w:lvlText w:val="•"/>
      <w:lvlJc w:val="left"/>
      <w:pPr>
        <w:ind w:left="4052" w:hanging="360"/>
      </w:pPr>
      <w:rPr>
        <w:rFonts w:hint="default"/>
        <w:lang w:val="fr-FR" w:eastAsia="en-US" w:bidi="ar-SA"/>
      </w:rPr>
    </w:lvl>
    <w:lvl w:ilvl="5" w:tplc="15747F62">
      <w:numFmt w:val="bullet"/>
      <w:lvlText w:val="•"/>
      <w:lvlJc w:val="left"/>
      <w:pPr>
        <w:ind w:left="4860" w:hanging="360"/>
      </w:pPr>
      <w:rPr>
        <w:rFonts w:hint="default"/>
        <w:lang w:val="fr-FR" w:eastAsia="en-US" w:bidi="ar-SA"/>
      </w:rPr>
    </w:lvl>
    <w:lvl w:ilvl="6" w:tplc="72B0497E">
      <w:numFmt w:val="bullet"/>
      <w:lvlText w:val="•"/>
      <w:lvlJc w:val="left"/>
      <w:pPr>
        <w:ind w:left="5668" w:hanging="360"/>
      </w:pPr>
      <w:rPr>
        <w:rFonts w:hint="default"/>
        <w:lang w:val="fr-FR" w:eastAsia="en-US" w:bidi="ar-SA"/>
      </w:rPr>
    </w:lvl>
    <w:lvl w:ilvl="7" w:tplc="F30E255A">
      <w:numFmt w:val="bullet"/>
      <w:lvlText w:val="•"/>
      <w:lvlJc w:val="left"/>
      <w:pPr>
        <w:ind w:left="6476" w:hanging="360"/>
      </w:pPr>
      <w:rPr>
        <w:rFonts w:hint="default"/>
        <w:lang w:val="fr-FR" w:eastAsia="en-US" w:bidi="ar-SA"/>
      </w:rPr>
    </w:lvl>
    <w:lvl w:ilvl="8" w:tplc="4EFC781C">
      <w:numFmt w:val="bullet"/>
      <w:lvlText w:val="•"/>
      <w:lvlJc w:val="left"/>
      <w:pPr>
        <w:ind w:left="7284" w:hanging="360"/>
      </w:pPr>
      <w:rPr>
        <w:rFonts w:hint="default"/>
        <w:lang w:val="fr-FR" w:eastAsia="en-US" w:bidi="ar-SA"/>
      </w:rPr>
    </w:lvl>
  </w:abstractNum>
  <w:num w:numId="1" w16cid:durableId="616832963">
    <w:abstractNumId w:val="36"/>
  </w:num>
  <w:num w:numId="2" w16cid:durableId="1486582803">
    <w:abstractNumId w:val="20"/>
  </w:num>
  <w:num w:numId="3" w16cid:durableId="625939527">
    <w:abstractNumId w:val="18"/>
  </w:num>
  <w:num w:numId="4" w16cid:durableId="1459105525">
    <w:abstractNumId w:val="24"/>
  </w:num>
  <w:num w:numId="5" w16cid:durableId="1123420616">
    <w:abstractNumId w:val="34"/>
  </w:num>
  <w:num w:numId="6" w16cid:durableId="720713205">
    <w:abstractNumId w:val="1"/>
  </w:num>
  <w:num w:numId="7" w16cid:durableId="791167275">
    <w:abstractNumId w:val="19"/>
  </w:num>
  <w:num w:numId="8" w16cid:durableId="1199054133">
    <w:abstractNumId w:val="8"/>
  </w:num>
  <w:num w:numId="9" w16cid:durableId="1003169171">
    <w:abstractNumId w:val="7"/>
  </w:num>
  <w:num w:numId="10" w16cid:durableId="1514687973">
    <w:abstractNumId w:val="17"/>
  </w:num>
  <w:num w:numId="11" w16cid:durableId="2046519613">
    <w:abstractNumId w:val="14"/>
  </w:num>
  <w:num w:numId="12" w16cid:durableId="419957879">
    <w:abstractNumId w:val="6"/>
  </w:num>
  <w:num w:numId="13" w16cid:durableId="921793515">
    <w:abstractNumId w:val="4"/>
  </w:num>
  <w:num w:numId="14" w16cid:durableId="298849372">
    <w:abstractNumId w:val="37"/>
  </w:num>
  <w:num w:numId="15" w16cid:durableId="1064987753">
    <w:abstractNumId w:val="26"/>
  </w:num>
  <w:num w:numId="16" w16cid:durableId="1462117018">
    <w:abstractNumId w:val="2"/>
  </w:num>
  <w:num w:numId="17" w16cid:durableId="1180268512">
    <w:abstractNumId w:val="10"/>
  </w:num>
  <w:num w:numId="18" w16cid:durableId="1747727028">
    <w:abstractNumId w:val="22"/>
  </w:num>
  <w:num w:numId="19" w16cid:durableId="1418289695">
    <w:abstractNumId w:val="0"/>
  </w:num>
  <w:num w:numId="20" w16cid:durableId="770900010">
    <w:abstractNumId w:val="16"/>
  </w:num>
  <w:num w:numId="21" w16cid:durableId="235675084">
    <w:abstractNumId w:val="27"/>
  </w:num>
  <w:num w:numId="22" w16cid:durableId="1200360328">
    <w:abstractNumId w:val="11"/>
  </w:num>
  <w:num w:numId="23" w16cid:durableId="2093814747">
    <w:abstractNumId w:val="25"/>
  </w:num>
  <w:num w:numId="24" w16cid:durableId="605624030">
    <w:abstractNumId w:val="28"/>
  </w:num>
  <w:num w:numId="25" w16cid:durableId="117262758">
    <w:abstractNumId w:val="12"/>
  </w:num>
  <w:num w:numId="26" w16cid:durableId="891959658">
    <w:abstractNumId w:val="23"/>
  </w:num>
  <w:num w:numId="27" w16cid:durableId="1657567766">
    <w:abstractNumId w:val="29"/>
  </w:num>
  <w:num w:numId="28" w16cid:durableId="561334062">
    <w:abstractNumId w:val="33"/>
  </w:num>
  <w:num w:numId="29" w16cid:durableId="553080834">
    <w:abstractNumId w:val="35"/>
  </w:num>
  <w:num w:numId="30" w16cid:durableId="788008657">
    <w:abstractNumId w:val="9"/>
  </w:num>
  <w:num w:numId="31" w16cid:durableId="918441504">
    <w:abstractNumId w:val="32"/>
  </w:num>
  <w:num w:numId="32" w16cid:durableId="519051747">
    <w:abstractNumId w:val="21"/>
  </w:num>
  <w:num w:numId="33" w16cid:durableId="1418134010">
    <w:abstractNumId w:val="3"/>
  </w:num>
  <w:num w:numId="34" w16cid:durableId="1120225736">
    <w:abstractNumId w:val="15"/>
  </w:num>
  <w:num w:numId="35" w16cid:durableId="57939539">
    <w:abstractNumId w:val="5"/>
  </w:num>
  <w:num w:numId="36" w16cid:durableId="902373283">
    <w:abstractNumId w:val="31"/>
  </w:num>
  <w:num w:numId="37" w16cid:durableId="714083334">
    <w:abstractNumId w:val="30"/>
  </w:num>
  <w:num w:numId="38" w16cid:durableId="1238973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BB"/>
    <w:rsid w:val="000558CC"/>
    <w:rsid w:val="00055F89"/>
    <w:rsid w:val="000660A9"/>
    <w:rsid w:val="000C53E0"/>
    <w:rsid w:val="000D6B2E"/>
    <w:rsid w:val="00106A97"/>
    <w:rsid w:val="00175992"/>
    <w:rsid w:val="001A578B"/>
    <w:rsid w:val="001D50D4"/>
    <w:rsid w:val="001F4920"/>
    <w:rsid w:val="0021246F"/>
    <w:rsid w:val="00216B67"/>
    <w:rsid w:val="00220860"/>
    <w:rsid w:val="002423FF"/>
    <w:rsid w:val="0024677A"/>
    <w:rsid w:val="0026031B"/>
    <w:rsid w:val="002C1EDD"/>
    <w:rsid w:val="002D562D"/>
    <w:rsid w:val="003320E6"/>
    <w:rsid w:val="00340706"/>
    <w:rsid w:val="00342897"/>
    <w:rsid w:val="00353517"/>
    <w:rsid w:val="00363F0F"/>
    <w:rsid w:val="00374934"/>
    <w:rsid w:val="003A1AF3"/>
    <w:rsid w:val="003A46A0"/>
    <w:rsid w:val="003C0CA9"/>
    <w:rsid w:val="003C1E66"/>
    <w:rsid w:val="003C46C0"/>
    <w:rsid w:val="003C6E4C"/>
    <w:rsid w:val="0040027A"/>
    <w:rsid w:val="00421A82"/>
    <w:rsid w:val="0042564A"/>
    <w:rsid w:val="004304BC"/>
    <w:rsid w:val="00433E55"/>
    <w:rsid w:val="004941CB"/>
    <w:rsid w:val="004C3A0F"/>
    <w:rsid w:val="004D11D8"/>
    <w:rsid w:val="00520D21"/>
    <w:rsid w:val="005373A3"/>
    <w:rsid w:val="00562EA3"/>
    <w:rsid w:val="0057371C"/>
    <w:rsid w:val="005831CA"/>
    <w:rsid w:val="005A5A0A"/>
    <w:rsid w:val="005E55AB"/>
    <w:rsid w:val="006136FF"/>
    <w:rsid w:val="00641AF2"/>
    <w:rsid w:val="00652A9C"/>
    <w:rsid w:val="0066065D"/>
    <w:rsid w:val="00670D46"/>
    <w:rsid w:val="006E4B57"/>
    <w:rsid w:val="00702BF9"/>
    <w:rsid w:val="00747FBE"/>
    <w:rsid w:val="007545CC"/>
    <w:rsid w:val="007A3FC9"/>
    <w:rsid w:val="007C5868"/>
    <w:rsid w:val="007E2F22"/>
    <w:rsid w:val="0081014E"/>
    <w:rsid w:val="00816106"/>
    <w:rsid w:val="00835FB7"/>
    <w:rsid w:val="00871625"/>
    <w:rsid w:val="008B3101"/>
    <w:rsid w:val="0092390B"/>
    <w:rsid w:val="00970A38"/>
    <w:rsid w:val="009C2664"/>
    <w:rsid w:val="009C6027"/>
    <w:rsid w:val="009F1CD7"/>
    <w:rsid w:val="009F4C92"/>
    <w:rsid w:val="00A1301D"/>
    <w:rsid w:val="00A163A9"/>
    <w:rsid w:val="00A2168D"/>
    <w:rsid w:val="00A33C30"/>
    <w:rsid w:val="00A4695D"/>
    <w:rsid w:val="00A63A1E"/>
    <w:rsid w:val="00A7124D"/>
    <w:rsid w:val="00AC12BF"/>
    <w:rsid w:val="00AD1825"/>
    <w:rsid w:val="00AD368D"/>
    <w:rsid w:val="00AD5F3C"/>
    <w:rsid w:val="00B0424D"/>
    <w:rsid w:val="00B24B82"/>
    <w:rsid w:val="00B307AF"/>
    <w:rsid w:val="00B7094E"/>
    <w:rsid w:val="00BC2756"/>
    <w:rsid w:val="00BD279D"/>
    <w:rsid w:val="00C25BF6"/>
    <w:rsid w:val="00C43918"/>
    <w:rsid w:val="00C6678B"/>
    <w:rsid w:val="00C81C6B"/>
    <w:rsid w:val="00CB74A1"/>
    <w:rsid w:val="00CC7372"/>
    <w:rsid w:val="00CE0664"/>
    <w:rsid w:val="00CE3F2C"/>
    <w:rsid w:val="00CE56BB"/>
    <w:rsid w:val="00D00501"/>
    <w:rsid w:val="00D43A62"/>
    <w:rsid w:val="00D45967"/>
    <w:rsid w:val="00D51B2C"/>
    <w:rsid w:val="00DB0E24"/>
    <w:rsid w:val="00DB26CE"/>
    <w:rsid w:val="00DF2D2B"/>
    <w:rsid w:val="00E4387F"/>
    <w:rsid w:val="00E567BB"/>
    <w:rsid w:val="00E723A7"/>
    <w:rsid w:val="00EA3922"/>
    <w:rsid w:val="00EB2911"/>
    <w:rsid w:val="00ED058D"/>
    <w:rsid w:val="00EF357E"/>
    <w:rsid w:val="00F13175"/>
    <w:rsid w:val="00F36E01"/>
    <w:rsid w:val="00F73E8C"/>
    <w:rsid w:val="00F847EF"/>
    <w:rsid w:val="00FA6698"/>
    <w:rsid w:val="00FA726E"/>
    <w:rsid w:val="00FB5F64"/>
    <w:rsid w:val="00FF326C"/>
    <w:rsid w:val="00FF4E0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55E2B"/>
  <w15:docId w15:val="{113DCC71-9F34-A549-8204-9F45E948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11"/>
    <w:pPr>
      <w:widowControl/>
      <w:contextualSpacing/>
    </w:pPr>
    <w:rPr>
      <w:rFonts w:ascii="Calibri" w:eastAsia="Arial" w:hAnsi="Calibri" w:cs="Arial"/>
      <w:lang w:val="fr-FR"/>
    </w:rPr>
  </w:style>
  <w:style w:type="paragraph" w:styleId="Titre1">
    <w:name w:val="heading 1"/>
    <w:basedOn w:val="Normal"/>
    <w:next w:val="Normal"/>
    <w:link w:val="Titre1Car"/>
    <w:uiPriority w:val="9"/>
    <w:qFormat/>
    <w:rsid w:val="00DB0E24"/>
    <w:pPr>
      <w:keepNext/>
      <w:keepLines/>
      <w:spacing w:before="240" w:after="120"/>
      <w:outlineLvl w:val="0"/>
    </w:pPr>
    <w:rPr>
      <w:rFonts w:eastAsiaTheme="majorEastAsia" w:cstheme="majorBidi"/>
      <w:b/>
      <w:color w:val="000000" w:themeColor="text1"/>
      <w:szCs w:val="3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w:hAnsi="Arial"/>
    </w:rPr>
  </w:style>
  <w:style w:type="paragraph" w:styleId="Paragraphedeliste">
    <w:name w:val="List Paragraph"/>
    <w:basedOn w:val="Normal"/>
    <w:uiPriority w:val="1"/>
    <w:qFormat/>
    <w:rsid w:val="001F4920"/>
    <w:pPr>
      <w:spacing w:before="2"/>
      <w:ind w:left="820" w:right="162" w:hanging="360"/>
    </w:pPr>
    <w:rPr>
      <w:rFonts w:asciiTheme="minorHAnsi" w:hAnsiTheme="minorHAnsi"/>
      <w:sz w:val="21"/>
    </w:rPr>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1D50D4"/>
    <w:pPr>
      <w:jc w:val="center"/>
    </w:pPr>
    <w:rPr>
      <w:rFonts w:eastAsiaTheme="majorEastAsia" w:cstheme="majorBidi"/>
      <w:spacing w:val="-10"/>
      <w:kern w:val="28"/>
      <w:sz w:val="44"/>
      <w:szCs w:val="56"/>
    </w:rPr>
  </w:style>
  <w:style w:type="character" w:customStyle="1" w:styleId="TitreCar">
    <w:name w:val="Titre Car"/>
    <w:basedOn w:val="Policepardfaut"/>
    <w:link w:val="Titre"/>
    <w:uiPriority w:val="10"/>
    <w:rsid w:val="001D50D4"/>
    <w:rPr>
      <w:rFonts w:eastAsiaTheme="majorEastAsia" w:cstheme="majorBidi"/>
      <w:spacing w:val="-10"/>
      <w:kern w:val="28"/>
      <w:sz w:val="44"/>
      <w:szCs w:val="56"/>
      <w:lang w:val="fr-FR"/>
    </w:rPr>
  </w:style>
  <w:style w:type="paragraph" w:styleId="Notedebasdepage">
    <w:name w:val="footnote text"/>
    <w:basedOn w:val="Normal"/>
    <w:link w:val="NotedebasdepageCar"/>
    <w:uiPriority w:val="99"/>
    <w:semiHidden/>
    <w:unhideWhenUsed/>
    <w:rsid w:val="001D50D4"/>
    <w:rPr>
      <w:sz w:val="20"/>
      <w:szCs w:val="20"/>
    </w:rPr>
  </w:style>
  <w:style w:type="character" w:customStyle="1" w:styleId="NotedebasdepageCar">
    <w:name w:val="Note de bas de page Car"/>
    <w:basedOn w:val="Policepardfaut"/>
    <w:link w:val="Notedebasdepage"/>
    <w:uiPriority w:val="99"/>
    <w:semiHidden/>
    <w:rsid w:val="001D50D4"/>
    <w:rPr>
      <w:rFonts w:eastAsia="Arial" w:cs="Arial"/>
      <w:sz w:val="20"/>
      <w:szCs w:val="20"/>
      <w:lang w:val="fr-FR"/>
    </w:rPr>
  </w:style>
  <w:style w:type="character" w:styleId="Appelnotedebasdep">
    <w:name w:val="footnote reference"/>
    <w:basedOn w:val="Policepardfaut"/>
    <w:uiPriority w:val="99"/>
    <w:semiHidden/>
    <w:unhideWhenUsed/>
    <w:rsid w:val="001D50D4"/>
    <w:rPr>
      <w:vertAlign w:val="superscript"/>
    </w:rPr>
  </w:style>
  <w:style w:type="paragraph" w:styleId="En-tte">
    <w:name w:val="header"/>
    <w:basedOn w:val="Normal"/>
    <w:link w:val="En-tteCar"/>
    <w:uiPriority w:val="99"/>
    <w:unhideWhenUsed/>
    <w:rsid w:val="001D50D4"/>
    <w:pPr>
      <w:tabs>
        <w:tab w:val="center" w:pos="4320"/>
        <w:tab w:val="right" w:pos="8640"/>
      </w:tabs>
    </w:pPr>
  </w:style>
  <w:style w:type="character" w:customStyle="1" w:styleId="En-tteCar">
    <w:name w:val="En-tête Car"/>
    <w:basedOn w:val="Policepardfaut"/>
    <w:link w:val="En-tte"/>
    <w:uiPriority w:val="99"/>
    <w:rsid w:val="001D50D4"/>
    <w:rPr>
      <w:rFonts w:eastAsia="Arial" w:cs="Arial"/>
      <w:lang w:val="fr-FR"/>
    </w:rPr>
  </w:style>
  <w:style w:type="paragraph" w:styleId="Pieddepage">
    <w:name w:val="footer"/>
    <w:basedOn w:val="Normal"/>
    <w:link w:val="PieddepageCar"/>
    <w:uiPriority w:val="99"/>
    <w:unhideWhenUsed/>
    <w:rsid w:val="001D50D4"/>
    <w:pPr>
      <w:tabs>
        <w:tab w:val="center" w:pos="4320"/>
        <w:tab w:val="right" w:pos="8640"/>
      </w:tabs>
    </w:pPr>
  </w:style>
  <w:style w:type="character" w:customStyle="1" w:styleId="PieddepageCar">
    <w:name w:val="Pied de page Car"/>
    <w:basedOn w:val="Policepardfaut"/>
    <w:link w:val="Pieddepage"/>
    <w:uiPriority w:val="99"/>
    <w:rsid w:val="001D50D4"/>
    <w:rPr>
      <w:rFonts w:eastAsia="Arial" w:cs="Arial"/>
      <w:lang w:val="fr-FR"/>
    </w:rPr>
  </w:style>
  <w:style w:type="paragraph" w:styleId="Sous-titre">
    <w:name w:val="Subtitle"/>
    <w:basedOn w:val="Normal"/>
    <w:next w:val="Normal"/>
    <w:link w:val="Sous-titreCar"/>
    <w:uiPriority w:val="11"/>
    <w:qFormat/>
    <w:rsid w:val="0026031B"/>
    <w:pPr>
      <w:numPr>
        <w:ilvl w:val="1"/>
      </w:numPr>
      <w:spacing w:before="240" w:after="240"/>
      <w:jc w:val="center"/>
    </w:pPr>
    <w:rPr>
      <w:rFonts w:eastAsiaTheme="minorEastAsia" w:cs="Times New Roman (Corps CS)"/>
      <w:color w:val="000000" w:themeColor="text1"/>
      <w:spacing w:val="20"/>
      <w:sz w:val="36"/>
    </w:rPr>
  </w:style>
  <w:style w:type="character" w:customStyle="1" w:styleId="Sous-titreCar">
    <w:name w:val="Sous-titre Car"/>
    <w:basedOn w:val="Policepardfaut"/>
    <w:link w:val="Sous-titre"/>
    <w:uiPriority w:val="11"/>
    <w:rsid w:val="0026031B"/>
    <w:rPr>
      <w:rFonts w:ascii="Calibri" w:eastAsiaTheme="minorEastAsia" w:hAnsi="Calibri" w:cs="Times New Roman (Corps CS)"/>
      <w:color w:val="000000" w:themeColor="text1"/>
      <w:spacing w:val="20"/>
      <w:sz w:val="36"/>
      <w:lang w:val="fr-FR"/>
    </w:rPr>
  </w:style>
  <w:style w:type="character" w:customStyle="1" w:styleId="Titre1Car">
    <w:name w:val="Titre 1 Car"/>
    <w:basedOn w:val="Policepardfaut"/>
    <w:link w:val="Titre1"/>
    <w:uiPriority w:val="9"/>
    <w:rsid w:val="00DB0E24"/>
    <w:rPr>
      <w:rFonts w:ascii="Calibri" w:eastAsiaTheme="majorEastAsia" w:hAnsi="Calibri" w:cstheme="majorBidi"/>
      <w:b/>
      <w:color w:val="000000" w:themeColor="text1"/>
      <w:szCs w:val="32"/>
      <w:lang w:val="fr-CA"/>
    </w:rPr>
  </w:style>
  <w:style w:type="table" w:styleId="Grilledutableau">
    <w:name w:val="Table Grid"/>
    <w:basedOn w:val="TableauNormal"/>
    <w:uiPriority w:val="39"/>
    <w:rsid w:val="00EA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EA3922"/>
    <w:rPr>
      <w:color w:val="0000FF" w:themeColor="hyperlink"/>
      <w:u w:val="single"/>
    </w:rPr>
  </w:style>
  <w:style w:type="character" w:styleId="Mentionnonrsolue">
    <w:name w:val="Unresolved Mention"/>
    <w:basedOn w:val="Policepardfaut"/>
    <w:uiPriority w:val="99"/>
    <w:semiHidden/>
    <w:unhideWhenUsed/>
    <w:rsid w:val="00EA3922"/>
    <w:rPr>
      <w:color w:val="605E5C"/>
      <w:shd w:val="clear" w:color="auto" w:fill="E1DFDD"/>
    </w:rPr>
  </w:style>
  <w:style w:type="paragraph" w:styleId="TM1">
    <w:name w:val="toc 1"/>
    <w:basedOn w:val="Normal"/>
    <w:next w:val="Normal"/>
    <w:autoRedefine/>
    <w:uiPriority w:val="39"/>
    <w:unhideWhenUsed/>
    <w:rsid w:val="00652A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thesetimes.com/article/refaat-alareer-israeli-occupation-palest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086B-A85C-514C-8807-945F1E24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7681</Words>
  <Characters>42249</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Microsoft Word - Une étrange défaite.docx</vt:lpstr>
    </vt:vector>
  </TitlesOfParts>
  <Company>Sciencetech</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Une étrange défaite.docx</dc:title>
  <dc:creator>Didier Leheudre</dc:creator>
  <cp:lastModifiedBy>Jean-Guy Rens</cp:lastModifiedBy>
  <cp:revision>5</cp:revision>
  <dcterms:created xsi:type="dcterms:W3CDTF">2025-05-29T19:58:00Z</dcterms:created>
  <dcterms:modified xsi:type="dcterms:W3CDTF">2025-05-29T20:10:00Z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LastSaved">
    <vt:filetime>2025-05-27T00:00:00Z</vt:filetime>
  </property>
  <property fmtid="{D5CDD505-2E9C-101B-9397-08002B2CF9AE}" pid="4" name="Producer">
    <vt:lpwstr>Microsoft: Print To PDF</vt:lpwstr>
  </property>
</Properties>
</file>